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7A43289" w:rsidR="00E90E49" w:rsidRPr="00CE0424" w:rsidRDefault="00E90E49" w:rsidP="00E35559">
      <w:pPr>
        <w:pStyle w:val="3GPPHeader"/>
        <w:spacing w:after="60"/>
        <w:rPr>
          <w:sz w:val="32"/>
          <w:szCs w:val="32"/>
          <w:highlight w:val="yellow"/>
        </w:rPr>
      </w:pPr>
      <w:r w:rsidRPr="00CE0424">
        <w:t>3GPP TSG-RAN #</w:t>
      </w:r>
      <w:r w:rsidR="00FE1CCE">
        <w:t>97e</w:t>
      </w:r>
      <w:r w:rsidRPr="00CE0424">
        <w:tab/>
      </w:r>
      <w:proofErr w:type="spellStart"/>
      <w:r w:rsidRPr="00CE0424">
        <w:rPr>
          <w:sz w:val="32"/>
          <w:szCs w:val="32"/>
        </w:rPr>
        <w:t>Tdoc</w:t>
      </w:r>
      <w:proofErr w:type="spellEnd"/>
      <w:r w:rsidRPr="00CE0424">
        <w:rPr>
          <w:sz w:val="32"/>
          <w:szCs w:val="32"/>
        </w:rPr>
        <w:t xml:space="preserve"> </w:t>
      </w:r>
      <w:r w:rsidR="0000079B" w:rsidRPr="0000079B">
        <w:rPr>
          <w:sz w:val="32"/>
          <w:szCs w:val="32"/>
        </w:rPr>
        <w:t>RP-222368</w:t>
      </w:r>
    </w:p>
    <w:p w14:paraId="0DEF01D1" w14:textId="55CD5B78" w:rsidR="00E90E49" w:rsidRPr="00CE0424" w:rsidRDefault="00C268E6" w:rsidP="00311702">
      <w:pPr>
        <w:pStyle w:val="3GPPHeader"/>
      </w:pPr>
      <w:r>
        <w:t xml:space="preserve">Electronic meeting, </w:t>
      </w:r>
      <w:r w:rsidR="00037576" w:rsidRPr="00037576">
        <w:t>September 12-16, 2022</w:t>
      </w:r>
    </w:p>
    <w:p w14:paraId="252563D4" w14:textId="77777777" w:rsidR="00E90E49" w:rsidRPr="00CE0424" w:rsidRDefault="00E90E49" w:rsidP="00357380">
      <w:pPr>
        <w:pStyle w:val="3GPPHeader"/>
      </w:pPr>
    </w:p>
    <w:p w14:paraId="267378A2" w14:textId="1C33E06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1568" w:rsidRPr="00571568">
        <w:rPr>
          <w:sz w:val="22"/>
          <w:szCs w:val="22"/>
        </w:rPr>
        <w:t>9.2.2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98BFCBD" w:rsidR="00E90E49" w:rsidRPr="00CE0424" w:rsidRDefault="003D3C45" w:rsidP="00311702">
      <w:pPr>
        <w:pStyle w:val="3GPPHeader"/>
        <w:rPr>
          <w:sz w:val="22"/>
          <w:szCs w:val="22"/>
        </w:rPr>
      </w:pPr>
      <w:r>
        <w:rPr>
          <w:sz w:val="22"/>
          <w:szCs w:val="22"/>
        </w:rPr>
        <w:t>Title:</w:t>
      </w:r>
      <w:r w:rsidR="00E90E49" w:rsidRPr="00CE0424">
        <w:rPr>
          <w:sz w:val="22"/>
          <w:szCs w:val="22"/>
        </w:rPr>
        <w:tab/>
      </w:r>
      <w:r w:rsidR="00FE1CCE">
        <w:rPr>
          <w:sz w:val="22"/>
          <w:szCs w:val="22"/>
        </w:rPr>
        <w:t>Generic solution for n77</w:t>
      </w:r>
      <w:r w:rsidR="00616413">
        <w:rPr>
          <w:sz w:val="22"/>
          <w:szCs w:val="22"/>
        </w:rPr>
        <w:t>-like</w:t>
      </w:r>
      <w:r w:rsidR="00FE1CCE">
        <w:rPr>
          <w:sz w:val="22"/>
          <w:szCs w:val="22"/>
        </w:rPr>
        <w:t xml:space="preserve"> issues</w:t>
      </w:r>
    </w:p>
    <w:p w14:paraId="24C111CD" w14:textId="77777777" w:rsidR="00E90E49" w:rsidRPr="00CE0424" w:rsidRDefault="00E90E49" w:rsidP="00D546FF">
      <w:pPr>
        <w:pStyle w:val="3GPPHeader"/>
        <w:rPr>
          <w:sz w:val="22"/>
          <w:szCs w:val="22"/>
        </w:rPr>
      </w:pPr>
      <w:r w:rsidRPr="00037576">
        <w:rPr>
          <w:sz w:val="22"/>
          <w:szCs w:val="22"/>
        </w:rPr>
        <w:t>Document for:</w:t>
      </w:r>
      <w:r w:rsidRPr="00037576">
        <w:rPr>
          <w:sz w:val="22"/>
          <w:szCs w:val="22"/>
        </w:rPr>
        <w:tab/>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321BC7A" w:rsidR="00477768" w:rsidRDefault="00FE1CCE" w:rsidP="00CE0424">
      <w:pPr>
        <w:pStyle w:val="BodyText"/>
      </w:pPr>
      <w:r>
        <w:t>RAN has started a study item to identify a generic solution which should be applied to n77-like with these objectives:</w:t>
      </w:r>
    </w:p>
    <w:p w14:paraId="60341BDA" w14:textId="70489C9D" w:rsidR="00FE1CCE" w:rsidRDefault="00FE1CCE" w:rsidP="00CE0424">
      <w:pPr>
        <w:pStyle w:val="BodyText"/>
      </w:pPr>
    </w:p>
    <w:tbl>
      <w:tblPr>
        <w:tblStyle w:val="TableGrid"/>
        <w:tblW w:w="0" w:type="auto"/>
        <w:tblInd w:w="421" w:type="dxa"/>
        <w:tblLook w:val="04A0" w:firstRow="1" w:lastRow="0" w:firstColumn="1" w:lastColumn="0" w:noHBand="0" w:noVBand="1"/>
      </w:tblPr>
      <w:tblGrid>
        <w:gridCol w:w="8646"/>
      </w:tblGrid>
      <w:tr w:rsidR="00FE1CCE" w14:paraId="01FA9D62" w14:textId="77777777" w:rsidTr="00FE1CCE">
        <w:tc>
          <w:tcPr>
            <w:tcW w:w="8646" w:type="dxa"/>
          </w:tcPr>
          <w:p w14:paraId="067470BA" w14:textId="77777777" w:rsidR="00FE1CCE" w:rsidRPr="004E3261" w:rsidRDefault="00FE1CCE" w:rsidP="00FE1CCE">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3C1544EC" w14:textId="77777777" w:rsidR="00FE1CCE" w:rsidRDefault="00FE1CCE" w:rsidP="00FE1CCE">
            <w:pPr>
              <w:widowControl w:val="0"/>
              <w:tabs>
                <w:tab w:val="left" w:pos="1190"/>
              </w:tabs>
              <w:spacing w:after="0"/>
              <w:rPr>
                <w:color w:val="000000"/>
              </w:rPr>
            </w:pPr>
            <w:r>
              <w:rPr>
                <w:color w:val="000000"/>
              </w:rPr>
              <w:t>The objectives for this study item include the following</w:t>
            </w:r>
          </w:p>
          <w:p w14:paraId="1701E8CB" w14:textId="77777777" w:rsidR="00FE1CCE" w:rsidRDefault="00FE1CCE" w:rsidP="00FE1CCE">
            <w:pPr>
              <w:widowControl w:val="0"/>
              <w:numPr>
                <w:ilvl w:val="0"/>
                <w:numId w:val="23"/>
              </w:numPr>
              <w:spacing w:after="0"/>
              <w:rPr>
                <w:color w:val="000000"/>
              </w:rPr>
            </w:pPr>
            <w:r>
              <w:rPr>
                <w:color w:val="000000"/>
              </w:rPr>
              <w:t>Investigate and identify the root cause of  issues associated with regional frequency allocations, using U.S. and Canadian treatment of n77 as examples, as the first step</w:t>
            </w:r>
          </w:p>
          <w:p w14:paraId="3F4C80D9" w14:textId="77777777" w:rsidR="00FE1CCE" w:rsidRDefault="00FE1CCE" w:rsidP="00FE1CCE">
            <w:pPr>
              <w:widowControl w:val="0"/>
              <w:numPr>
                <w:ilvl w:val="0"/>
                <w:numId w:val="23"/>
              </w:numPr>
              <w:spacing w:after="0"/>
              <w:rPr>
                <w:color w:val="000000"/>
              </w:rPr>
            </w:pPr>
            <w:r>
              <w:rPr>
                <w:color w:val="000000"/>
              </w:rPr>
              <w:t>Based on the outcome of the above investigation</w:t>
            </w:r>
            <w:r w:rsidRPr="008B0508">
              <w:rPr>
                <w:color w:val="000000"/>
              </w:rPr>
              <w:t>, provide a general solution</w:t>
            </w:r>
            <w:r>
              <w:rPr>
                <w:color w:val="000000"/>
              </w:rPr>
              <w:t xml:space="preserve"> or general principles</w:t>
            </w:r>
            <w:r w:rsidRPr="008B0508">
              <w:rPr>
                <w:color w:val="000000"/>
              </w:rPr>
              <w:t xml:space="preserve"> for </w:t>
            </w:r>
            <w:r>
              <w:rPr>
                <w:color w:val="000000"/>
              </w:rPr>
              <w:t xml:space="preserve">UE </w:t>
            </w:r>
            <w:r w:rsidRPr="008B0508">
              <w:rPr>
                <w:color w:val="000000"/>
              </w:rPr>
              <w:t xml:space="preserve">regulatory compliance </w:t>
            </w:r>
            <w:r>
              <w:rPr>
                <w:color w:val="000000"/>
              </w:rPr>
              <w:t xml:space="preserve">status </w:t>
            </w:r>
            <w:r w:rsidRPr="008B0508">
              <w:rPr>
                <w:color w:val="000000"/>
              </w:rPr>
              <w:t xml:space="preserve">issues for </w:t>
            </w:r>
            <w:r>
              <w:rPr>
                <w:color w:val="000000"/>
              </w:rPr>
              <w:t>regional frequency ranges of large global bands considering:</w:t>
            </w:r>
          </w:p>
          <w:p w14:paraId="74F7DB26" w14:textId="77777777" w:rsidR="00FE1CCE" w:rsidRDefault="00FE1CCE" w:rsidP="00FE1CCE">
            <w:pPr>
              <w:widowControl w:val="0"/>
              <w:numPr>
                <w:ilvl w:val="1"/>
                <w:numId w:val="23"/>
              </w:numPr>
              <w:spacing w:after="0"/>
              <w:rPr>
                <w:color w:val="000000"/>
              </w:rPr>
            </w:pPr>
            <w:r w:rsidRPr="008B0508">
              <w:rPr>
                <w:color w:val="000000"/>
              </w:rPr>
              <w:t>Introduction of new bands</w:t>
            </w:r>
            <w:r>
              <w:rPr>
                <w:color w:val="000000"/>
              </w:rPr>
              <w:t>/band numbers;</w:t>
            </w:r>
          </w:p>
          <w:p w14:paraId="639F243C" w14:textId="77777777" w:rsidR="00FE1CCE" w:rsidRDefault="00FE1CCE" w:rsidP="00FE1CCE">
            <w:pPr>
              <w:widowControl w:val="0"/>
              <w:numPr>
                <w:ilvl w:val="1"/>
                <w:numId w:val="23"/>
              </w:numPr>
              <w:spacing w:after="0"/>
              <w:rPr>
                <w:color w:val="000000"/>
              </w:rPr>
            </w:pPr>
            <w:r w:rsidRPr="008B0508">
              <w:rPr>
                <w:color w:val="000000"/>
              </w:rPr>
              <w:t>Solutions without introduction of new bands</w:t>
            </w:r>
            <w:r>
              <w:rPr>
                <w:color w:val="000000"/>
              </w:rPr>
              <w:t>/band numbers</w:t>
            </w:r>
            <w:r w:rsidRPr="008B0508">
              <w:rPr>
                <w:color w:val="000000"/>
              </w:rPr>
              <w:t xml:space="preserve">, i.e., reusing the existing band numbers with appropriate signaling to differentiate UE </w:t>
            </w:r>
            <w:r>
              <w:rPr>
                <w:color w:val="000000"/>
              </w:rPr>
              <w:t xml:space="preserve">regulatory compliance </w:t>
            </w:r>
            <w:r w:rsidRPr="008B0508">
              <w:rPr>
                <w:color w:val="000000"/>
              </w:rPr>
              <w:t>support</w:t>
            </w:r>
            <w:r>
              <w:rPr>
                <w:color w:val="000000"/>
              </w:rPr>
              <w:t xml:space="preserve"> from 3GPP band definitions;</w:t>
            </w:r>
          </w:p>
          <w:p w14:paraId="5AA834B3" w14:textId="202A3B39" w:rsidR="00FE1CCE" w:rsidRPr="00FE1CCE" w:rsidRDefault="00FE1CCE" w:rsidP="00CE0424">
            <w:pPr>
              <w:widowControl w:val="0"/>
              <w:numPr>
                <w:ilvl w:val="1"/>
                <w:numId w:val="23"/>
              </w:numPr>
              <w:spacing w:after="0"/>
              <w:rPr>
                <w:color w:val="000000"/>
              </w:rPr>
            </w:pPr>
            <w:r w:rsidRPr="008B0508">
              <w:rPr>
                <w:color w:val="000000"/>
              </w:rPr>
              <w:t>The UE should be ensured to support the full frequency range on its supported bands</w:t>
            </w:r>
            <w:r>
              <w:rPr>
                <w:color w:val="000000"/>
              </w:rPr>
              <w:t xml:space="preserve"> to avoid market </w:t>
            </w:r>
            <w:r w:rsidRPr="008B0508">
              <w:rPr>
                <w:color w:val="000000"/>
              </w:rPr>
              <w:t>fragmentation</w:t>
            </w:r>
            <w:r>
              <w:rPr>
                <w:color w:val="000000"/>
              </w:rPr>
              <w:t>.</w:t>
            </w:r>
          </w:p>
        </w:tc>
      </w:tr>
    </w:tbl>
    <w:p w14:paraId="2CAD2AD9" w14:textId="77777777" w:rsidR="00FE1CCE" w:rsidRDefault="00FE1CCE" w:rsidP="00CE0424">
      <w:pPr>
        <w:pStyle w:val="BodyText"/>
      </w:pPr>
    </w:p>
    <w:p w14:paraId="6352E1C0" w14:textId="77777777" w:rsidR="00FE1CCE" w:rsidRPr="00CE0424" w:rsidRDefault="00FE1CCE"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0DDA1503" w:rsidR="00F63950" w:rsidRDefault="00230D18" w:rsidP="00F63950">
      <w:pPr>
        <w:pStyle w:val="Heading2"/>
      </w:pPr>
      <w:r>
        <w:t>2.1</w:t>
      </w:r>
      <w:r>
        <w:tab/>
      </w:r>
      <w:r w:rsidR="00FE1CCE">
        <w:t>Root cause</w:t>
      </w:r>
    </w:p>
    <w:p w14:paraId="6EFE96D0" w14:textId="3429084F" w:rsidR="00FE1CCE" w:rsidRDefault="005404D9" w:rsidP="00FE1CCE">
      <w:pPr>
        <w:pStyle w:val="BodyText"/>
      </w:pPr>
      <w:r>
        <w:t xml:space="preserve">Band </w:t>
      </w:r>
      <w:r w:rsidR="00FE1CCE">
        <w:t xml:space="preserve">n77 was </w:t>
      </w:r>
      <w:r w:rsidR="00314BC9">
        <w:t>specifi</w:t>
      </w:r>
      <w:r w:rsidR="00FE1CCE">
        <w:t xml:space="preserve">ed </w:t>
      </w:r>
      <w:r w:rsidR="00842053">
        <w:t>by</w:t>
      </w:r>
      <w:r w:rsidR="00FE1CCE">
        <w:t xml:space="preserve"> 3GPP in </w:t>
      </w:r>
      <w:r w:rsidR="00CE27D8">
        <w:t>Rel-15</w:t>
      </w:r>
      <w:r w:rsidR="00FE1CCE">
        <w:t xml:space="preserve"> and is defined in the frequency range </w:t>
      </w:r>
      <w:r w:rsidR="00BE4984">
        <w:t xml:space="preserve">3300-4200 </w:t>
      </w:r>
      <w:proofErr w:type="spellStart"/>
      <w:r w:rsidR="00BE4984">
        <w:t>MHz</w:t>
      </w:r>
      <w:r w:rsidR="00FE1CCE">
        <w:t>.</w:t>
      </w:r>
      <w:proofErr w:type="spellEnd"/>
      <w:r w:rsidR="00FE1CCE">
        <w:t xml:space="preserve"> </w:t>
      </w:r>
      <w:r w:rsidR="007D5468">
        <w:t>For operation</w:t>
      </w:r>
      <w:r w:rsidR="00EF2327">
        <w:t>s</w:t>
      </w:r>
      <w:r w:rsidR="007D5468">
        <w:t xml:space="preserve"> in the US</w:t>
      </w:r>
      <w:r w:rsidR="00445780">
        <w:t>,</w:t>
      </w:r>
      <w:r w:rsidR="00FE1CCE">
        <w:t xml:space="preserve"> the FCC </w:t>
      </w:r>
      <w:r w:rsidR="007D5468">
        <w:t>initially</w:t>
      </w:r>
      <w:r w:rsidR="00FE1CCE">
        <w:t xml:space="preserve"> defined regional requirements for </w:t>
      </w:r>
      <w:bookmarkStart w:id="1" w:name="_Hlk112942965"/>
      <w:r w:rsidR="00B458F7">
        <w:t xml:space="preserve">the </w:t>
      </w:r>
      <w:r w:rsidR="00724824">
        <w:t>sub-</w:t>
      </w:r>
      <w:r w:rsidR="00B458F7">
        <w:t xml:space="preserve">range </w:t>
      </w:r>
      <w:r w:rsidR="00DA6A2B" w:rsidRPr="00DA6A2B">
        <w:t>3700 - 3980 MHz</w:t>
      </w:r>
      <w:bookmarkEnd w:id="1"/>
      <w:r w:rsidR="00701D72">
        <w:t xml:space="preserve"> </w:t>
      </w:r>
      <w:r w:rsidR="004A6DD3">
        <w:t>besides</w:t>
      </w:r>
      <w:r w:rsidR="00701D72">
        <w:t xml:space="preserve"> the CBRS band</w:t>
      </w:r>
      <w:r w:rsidR="00FE1CCE">
        <w:t>.</w:t>
      </w:r>
      <w:r w:rsidR="009735FC">
        <w:t xml:space="preserve"> </w:t>
      </w:r>
      <w:r w:rsidR="00F4691E">
        <w:t>Later</w:t>
      </w:r>
      <w:r w:rsidR="0021331D">
        <w:t xml:space="preserve"> the FCC </w:t>
      </w:r>
      <w:r w:rsidR="003B2BC3">
        <w:t xml:space="preserve">made </w:t>
      </w:r>
      <w:r w:rsidR="001135C5">
        <w:t xml:space="preserve">additional spectrum available </w:t>
      </w:r>
      <w:r w:rsidR="00701D72">
        <w:t xml:space="preserve">in the n77 range </w:t>
      </w:r>
      <w:r w:rsidR="001135C5">
        <w:t xml:space="preserve">and </w:t>
      </w:r>
      <w:r w:rsidR="00FE1CCE">
        <w:t xml:space="preserve">defined requirements for </w:t>
      </w:r>
      <w:r w:rsidR="004D2405">
        <w:t>an</w:t>
      </w:r>
      <w:r w:rsidR="00FE1CCE">
        <w:t xml:space="preserve"> additional </w:t>
      </w:r>
      <w:r w:rsidR="00724824">
        <w:t>sub-</w:t>
      </w:r>
      <w:r w:rsidR="00FE1CCE">
        <w:t xml:space="preserve">range within n77 to cover </w:t>
      </w:r>
      <w:r w:rsidR="00DA6A2B" w:rsidRPr="00DA6A2B">
        <w:t xml:space="preserve">3450 - 3550 </w:t>
      </w:r>
      <w:proofErr w:type="spellStart"/>
      <w:r w:rsidR="00DA6A2B" w:rsidRPr="00DA6A2B">
        <w:t>MHz</w:t>
      </w:r>
      <w:r w:rsidR="00FE1CCE">
        <w:t>.</w:t>
      </w:r>
      <w:proofErr w:type="spellEnd"/>
    </w:p>
    <w:p w14:paraId="20F7B606" w14:textId="134F0EC3" w:rsidR="00FE1CCE" w:rsidRDefault="00FE1CCE" w:rsidP="00FE1CCE">
      <w:pPr>
        <w:pStyle w:val="BodyText"/>
      </w:pPr>
      <w:r>
        <w:t xml:space="preserve">This </w:t>
      </w:r>
      <w:r w:rsidR="00DA6A2B">
        <w:t xml:space="preserve">extension </w:t>
      </w:r>
      <w:r>
        <w:t xml:space="preserve">caused a compatibility issue. A UE which was </w:t>
      </w:r>
      <w:r w:rsidR="007A691B">
        <w:t>put on the market in the</w:t>
      </w:r>
      <w:r>
        <w:t xml:space="preserve"> USA before </w:t>
      </w:r>
      <w:r w:rsidR="001945C4">
        <w:t xml:space="preserve">the </w:t>
      </w:r>
      <w:r w:rsidR="00724824">
        <w:t>sub-</w:t>
      </w:r>
      <w:r w:rsidR="001945C4">
        <w:t xml:space="preserve">range 3450-3550 MHz </w:t>
      </w:r>
      <w:r w:rsidR="0001256D">
        <w:t>was made available</w:t>
      </w:r>
      <w:r>
        <w:t xml:space="preserve"> would declare that it supported n77, but</w:t>
      </w:r>
      <w:r w:rsidR="000547EA">
        <w:t xml:space="preserve"> it was shown that some of those UEs </w:t>
      </w:r>
      <w:r>
        <w:t>only support</w:t>
      </w:r>
      <w:r w:rsidR="000547EA">
        <w:t>ed</w:t>
      </w:r>
      <w:r>
        <w:t xml:space="preserve"> the </w:t>
      </w:r>
      <w:r w:rsidR="00724824">
        <w:t>sub-</w:t>
      </w:r>
      <w:r>
        <w:t xml:space="preserve">range </w:t>
      </w:r>
      <w:r w:rsidR="00DA6A2B" w:rsidRPr="00DA6A2B">
        <w:t>3700 - 3980 MHz</w:t>
      </w:r>
      <w:r w:rsidR="002522C9">
        <w:t xml:space="preserve"> when operated in the US</w:t>
      </w:r>
      <w:r>
        <w:t>. UE</w:t>
      </w:r>
      <w:r w:rsidR="000547EA">
        <w:t>s</w:t>
      </w:r>
      <w:r>
        <w:t xml:space="preserve"> produced </w:t>
      </w:r>
      <w:r w:rsidR="0021342A">
        <w:t>later</w:t>
      </w:r>
      <w:r>
        <w:t xml:space="preserve"> would instead support both </w:t>
      </w:r>
      <w:r w:rsidR="00DA6A2B" w:rsidRPr="00DA6A2B">
        <w:t>3450 - 3550 MHz</w:t>
      </w:r>
      <w:r w:rsidR="00DA6A2B">
        <w:t xml:space="preserve"> and </w:t>
      </w:r>
      <w:r w:rsidR="00DA6A2B" w:rsidRPr="00DA6A2B">
        <w:t>3700 - 3980 MHz</w:t>
      </w:r>
      <w:r w:rsidR="00DA6A2B">
        <w:t xml:space="preserve"> </w:t>
      </w:r>
      <w:r w:rsidR="00617988">
        <w:t>while</w:t>
      </w:r>
      <w:r w:rsidR="00DA6A2B">
        <w:t xml:space="preserve"> still indicat</w:t>
      </w:r>
      <w:r w:rsidR="00617988">
        <w:t>ing</w:t>
      </w:r>
      <w:r w:rsidR="00DA6A2B">
        <w:t xml:space="preserve"> support for</w:t>
      </w:r>
      <w:r w:rsidR="00916235">
        <w:t xml:space="preserve"> n77</w:t>
      </w:r>
      <w:r>
        <w:t xml:space="preserve">. A gNB would then not know </w:t>
      </w:r>
      <w:r w:rsidR="001920CB">
        <w:t xml:space="preserve">if </w:t>
      </w:r>
      <w:r w:rsidR="000547EA">
        <w:t xml:space="preserve">the </w:t>
      </w:r>
      <w:r>
        <w:t xml:space="preserve">UE was a UE supporting only </w:t>
      </w:r>
      <w:r w:rsidR="00DA6A2B" w:rsidRPr="00DA6A2B">
        <w:t>3700 - 3980 MHz</w:t>
      </w:r>
      <w:r>
        <w:t xml:space="preserve">, or a new UE supporting both </w:t>
      </w:r>
      <w:r w:rsidR="00DA6A2B" w:rsidRPr="00DA6A2B">
        <w:t>3450 - 3550 MHz</w:t>
      </w:r>
      <w:r w:rsidR="00DA6A2B">
        <w:t xml:space="preserve"> and </w:t>
      </w:r>
      <w:r w:rsidR="00DA6A2B" w:rsidRPr="00DA6A2B">
        <w:t xml:space="preserve">3700 - 3980 </w:t>
      </w:r>
      <w:proofErr w:type="spellStart"/>
      <w:r w:rsidR="00DA6A2B" w:rsidRPr="00DA6A2B">
        <w:t>MHz</w:t>
      </w:r>
      <w:r>
        <w:t>.</w:t>
      </w:r>
      <w:proofErr w:type="spellEnd"/>
    </w:p>
    <w:p w14:paraId="50B732B3" w14:textId="45A76610" w:rsidR="00FE1CCE" w:rsidRDefault="00FE1CCE" w:rsidP="00FE1CCE">
      <w:pPr>
        <w:pStyle w:val="BodyText"/>
      </w:pPr>
      <w:r>
        <w:lastRenderedPageBreak/>
        <w:t xml:space="preserve">The flow of events was similar in Canada where </w:t>
      </w:r>
      <w:r w:rsidR="00990582">
        <w:t xml:space="preserve">the </w:t>
      </w:r>
      <w:r w:rsidR="007A337B">
        <w:t>ISED</w:t>
      </w:r>
      <w:r>
        <w:t xml:space="preserve"> </w:t>
      </w:r>
      <w:r w:rsidR="00FF0DED">
        <w:t xml:space="preserve">initially made the </w:t>
      </w:r>
      <w:r w:rsidR="00724824">
        <w:t>sub-</w:t>
      </w:r>
      <w:r w:rsidR="00FF0DED">
        <w:t xml:space="preserve">range 3450-3650 MHz </w:t>
      </w:r>
      <w:r w:rsidR="000547EA">
        <w:t xml:space="preserve">available </w:t>
      </w:r>
      <w:r w:rsidR="00FF0DED">
        <w:t xml:space="preserve">and later </w:t>
      </w:r>
      <w:r w:rsidR="0003445A">
        <w:t>extended with</w:t>
      </w:r>
      <w:r w:rsidR="00883682">
        <w:t xml:space="preserve"> </w:t>
      </w:r>
      <w:r w:rsidR="002F03FC">
        <w:t xml:space="preserve">the 3650-3980 MHz </w:t>
      </w:r>
      <w:r w:rsidR="00883682">
        <w:t>range</w:t>
      </w:r>
      <w:r>
        <w:t>.</w:t>
      </w:r>
    </w:p>
    <w:p w14:paraId="7899BB6C" w14:textId="1C57AB1E" w:rsidR="00DA3968" w:rsidRDefault="00FE1CCE" w:rsidP="00FE1CCE">
      <w:pPr>
        <w:pStyle w:val="BodyText"/>
      </w:pPr>
      <w:r>
        <w:t xml:space="preserve">The problem we have faced with n77 is therefore due to that </w:t>
      </w:r>
      <w:r w:rsidR="000547EA">
        <w:t xml:space="preserve">some </w:t>
      </w:r>
      <w:r>
        <w:t>UEs declare that they support the 3GPP definition of the band (e.g.</w:t>
      </w:r>
      <w:r w:rsidR="000547EA">
        <w:t>,</w:t>
      </w:r>
      <w:r>
        <w:t xml:space="preserve"> n77) but they are not certified for the whole </w:t>
      </w:r>
      <w:r w:rsidR="00DA6A2B">
        <w:t xml:space="preserve">3GPP-defined </w:t>
      </w:r>
      <w:r>
        <w:t xml:space="preserve">range </w:t>
      </w:r>
      <w:r w:rsidR="00DA6A2B">
        <w:t xml:space="preserve">of that band </w:t>
      </w:r>
      <w:r>
        <w:t>considering regional requirements</w:t>
      </w:r>
      <w:r w:rsidR="00DA6A2B">
        <w:t xml:space="preserve"> and hence should only operate in the range they are certified for</w:t>
      </w:r>
      <w:r>
        <w:t>.</w:t>
      </w:r>
    </w:p>
    <w:p w14:paraId="71AEAFEF" w14:textId="6A4C502C" w:rsidR="00FE1CCE" w:rsidRDefault="00DA3968" w:rsidP="00DA3968">
      <w:pPr>
        <w:pStyle w:val="Heading2"/>
      </w:pPr>
      <w:r>
        <w:t>2.2</w:t>
      </w:r>
      <w:r>
        <w:tab/>
        <w:t>General solution</w:t>
      </w:r>
    </w:p>
    <w:p w14:paraId="50678EE9" w14:textId="4899722E" w:rsidR="00DA3968" w:rsidRDefault="00DA3968" w:rsidP="00FE1CCE">
      <w:pPr>
        <w:pStyle w:val="BodyText"/>
      </w:pPr>
      <w:r>
        <w:t xml:space="preserve">When the n77 issue was brought up in 3GPP, RAN2 and RAN4 discussed different alternatives for how to ensure that both </w:t>
      </w:r>
      <w:r w:rsidR="000547EA">
        <w:t xml:space="preserve">those </w:t>
      </w:r>
      <w:r>
        <w:t xml:space="preserve">old </w:t>
      </w:r>
      <w:r w:rsidR="000547EA">
        <w:t xml:space="preserve">UEs which were only supporting a part of n77 </w:t>
      </w:r>
      <w:r>
        <w:t xml:space="preserve">and new UEs </w:t>
      </w:r>
      <w:r w:rsidR="000547EA">
        <w:t xml:space="preserve">supporting a larger part could both </w:t>
      </w:r>
      <w:r>
        <w:t>operate in the band.</w:t>
      </w:r>
      <w:r w:rsidR="00DA6A2B">
        <w:t xml:space="preserve"> Two main approaches were discussed, a new band number-approach and an approach with a capability bit and an associated NS-value. We describe them below.</w:t>
      </w:r>
    </w:p>
    <w:p w14:paraId="2D58316E" w14:textId="23544E59" w:rsidR="009435B2" w:rsidRDefault="009435B2" w:rsidP="00FE1CCE">
      <w:pPr>
        <w:pStyle w:val="BodyText"/>
      </w:pPr>
      <w:r>
        <w:t>We see that there are two main requirements for solutions</w:t>
      </w:r>
      <w:r w:rsidR="000547EA">
        <w:t xml:space="preserve"> to this problem</w:t>
      </w:r>
      <w:r>
        <w:t>:</w:t>
      </w:r>
    </w:p>
    <w:p w14:paraId="7DAB5CBC" w14:textId="275C6B3A" w:rsidR="009435B2" w:rsidRDefault="009435B2" w:rsidP="009435B2">
      <w:pPr>
        <w:pStyle w:val="BodyText"/>
        <w:numPr>
          <w:ilvl w:val="0"/>
          <w:numId w:val="24"/>
        </w:numPr>
      </w:pPr>
      <w:r>
        <w:t>A UE which is not certified for the use of the extended range(s) shall not connect to cells in the extended range.</w:t>
      </w:r>
    </w:p>
    <w:p w14:paraId="1F8A5156" w14:textId="759ED1DA" w:rsidR="009435B2" w:rsidRDefault="009435B2" w:rsidP="009435B2">
      <w:pPr>
        <w:pStyle w:val="BodyText"/>
        <w:numPr>
          <w:ilvl w:val="0"/>
          <w:numId w:val="24"/>
        </w:numPr>
      </w:pPr>
      <w:r>
        <w:t>The gNB needs to know if a UE supports operation in the extended range, e.g., to avoid handover or configuring SCells in the extended range.</w:t>
      </w:r>
    </w:p>
    <w:p w14:paraId="68E58909" w14:textId="77777777" w:rsidR="009435B2" w:rsidRDefault="009435B2" w:rsidP="00FE1CCE">
      <w:pPr>
        <w:pStyle w:val="BodyText"/>
      </w:pPr>
    </w:p>
    <w:p w14:paraId="112B3713" w14:textId="257A0547" w:rsidR="001920CB" w:rsidRDefault="001920CB" w:rsidP="00FE1CCE">
      <w:pPr>
        <w:pStyle w:val="BodyText"/>
      </w:pPr>
      <w:r>
        <w:t xml:space="preserve">Note, we </w:t>
      </w:r>
      <w:r w:rsidRPr="001920CB">
        <w:t>assume that a UE supporting the extended range (e.g. the DoD-band in USA) must also support the non-extended range (i.e. the C-band)</w:t>
      </w:r>
      <w:r>
        <w:t>.</w:t>
      </w:r>
    </w:p>
    <w:p w14:paraId="52BEBEE2" w14:textId="07A248D1" w:rsidR="00DA3968" w:rsidRDefault="00DA3968" w:rsidP="00DA3968">
      <w:pPr>
        <w:pStyle w:val="Heading3"/>
      </w:pPr>
      <w:r>
        <w:t>2.2.1</w:t>
      </w:r>
      <w:r>
        <w:tab/>
        <w:t>New band number</w:t>
      </w:r>
    </w:p>
    <w:p w14:paraId="3BA2DDD4" w14:textId="56830186" w:rsidR="00DA3968" w:rsidRDefault="00DA3968" w:rsidP="00FE1CCE">
      <w:pPr>
        <w:pStyle w:val="BodyText"/>
      </w:pPr>
      <w:r>
        <w:t xml:space="preserve">It was proposed in </w:t>
      </w:r>
      <w:hyperlink r:id="rId11" w:history="1">
        <w:r w:rsidR="00631021" w:rsidRPr="00631021">
          <w:rPr>
            <w:rStyle w:val="Hyperlink"/>
          </w:rPr>
          <w:t>R4-2112822</w:t>
        </w:r>
      </w:hyperlink>
      <w:r>
        <w:t xml:space="preserve"> that if a new band-number is assigned </w:t>
      </w:r>
      <w:r>
        <w:t xml:space="preserve">to the new range, the issue will be addressed. Note this solution does not mean that a new </w:t>
      </w:r>
      <w:r w:rsidRPr="000547EA">
        <w:rPr>
          <w:b/>
          <w:bCs/>
        </w:rPr>
        <w:t>band</w:t>
      </w:r>
      <w:r>
        <w:t xml:space="preserve"> is introduced, just that </w:t>
      </w:r>
      <w:r w:rsidR="003E6977">
        <w:t>a</w:t>
      </w:r>
      <w:r w:rsidR="00DA6A2B">
        <w:t xml:space="preserve"> new </w:t>
      </w:r>
      <w:r w:rsidR="00DA6A2B" w:rsidRPr="000547EA">
        <w:rPr>
          <w:b/>
          <w:bCs/>
        </w:rPr>
        <w:t xml:space="preserve">band </w:t>
      </w:r>
      <w:r w:rsidR="00DA6A2B" w:rsidRPr="000547EA">
        <w:rPr>
          <w:b/>
          <w:bCs/>
          <w:u w:val="single"/>
        </w:rPr>
        <w:t>number</w:t>
      </w:r>
      <w:r w:rsidR="00DA6A2B">
        <w:t xml:space="preserve"> is defined</w:t>
      </w:r>
      <w:r>
        <w:t>.</w:t>
      </w:r>
    </w:p>
    <w:p w14:paraId="64C7134C" w14:textId="0BC676FE" w:rsidR="00DA6A2B" w:rsidRDefault="00DA6A2B" w:rsidP="00FE1CCE">
      <w:pPr>
        <w:pStyle w:val="BodyText"/>
      </w:pPr>
      <w:r>
        <w:t>With the new band</w:t>
      </w:r>
      <w:r w:rsidR="00AF462F">
        <w:t xml:space="preserve"> number</w:t>
      </w:r>
      <w:r>
        <w:t xml:space="preserve"> approach, </w:t>
      </w:r>
      <w:r w:rsidR="006B15D0">
        <w:t>RAN</w:t>
      </w:r>
      <w:r>
        <w:t xml:space="preserve">4 would define </w:t>
      </w:r>
      <w:r w:rsidR="00F46BFB">
        <w:t xml:space="preserve">the new band number in their band tables </w:t>
      </w:r>
      <w:r w:rsidR="001451B7">
        <w:t xml:space="preserve">by referring to the original band number </w:t>
      </w:r>
      <w:r w:rsidR="00F46BFB">
        <w:t>(e.g.</w:t>
      </w:r>
      <w:r w:rsidR="000547EA">
        <w:t>,</w:t>
      </w:r>
      <w:r w:rsidR="00F46BFB">
        <w:t xml:space="preserve"> as</w:t>
      </w:r>
      <w:r>
        <w:t xml:space="preserve"> </w:t>
      </w:r>
      <w:r w:rsidR="00884472" w:rsidRPr="001920CB">
        <w:t>an equivalent</w:t>
      </w:r>
      <w:r w:rsidR="00AF462F" w:rsidRPr="001920CB">
        <w:t xml:space="preserve"> </w:t>
      </w:r>
      <w:r w:rsidRPr="001920CB">
        <w:t>band</w:t>
      </w:r>
      <w:r w:rsidR="001A61A2" w:rsidRPr="001920CB">
        <w:t xml:space="preserve"> </w:t>
      </w:r>
      <w:r w:rsidR="00F46BFB" w:rsidRPr="001920CB">
        <w:t>of the original band)</w:t>
      </w:r>
      <w:r w:rsidR="00884472" w:rsidRPr="001920CB">
        <w:t xml:space="preserve"> </w:t>
      </w:r>
      <w:r w:rsidR="001451B7" w:rsidRPr="001920CB">
        <w:t xml:space="preserve">and </w:t>
      </w:r>
      <w:r w:rsidR="00F46BFB" w:rsidRPr="001920CB">
        <w:t xml:space="preserve">with </w:t>
      </w:r>
      <w:r w:rsidR="001451B7" w:rsidRPr="001920CB">
        <w:t xml:space="preserve">the </w:t>
      </w:r>
      <w:r w:rsidR="00C677FD" w:rsidRPr="001920CB">
        <w:t xml:space="preserve">supported </w:t>
      </w:r>
      <w:r w:rsidR="001451B7" w:rsidRPr="001920CB">
        <w:t xml:space="preserve">sub-range(s) </w:t>
      </w:r>
      <w:r w:rsidR="00C677FD" w:rsidRPr="001920CB">
        <w:t>listed</w:t>
      </w:r>
      <w:r w:rsidRPr="001920CB">
        <w:t xml:space="preserve">. In 3GPP terms, this </w:t>
      </w:r>
      <w:r w:rsidR="001920CB" w:rsidRPr="001920CB">
        <w:t xml:space="preserve">equivalent </w:t>
      </w:r>
      <w:r w:rsidRPr="001920CB">
        <w:t xml:space="preserve">band would be identical to the old band, just that, in the affected region, the </w:t>
      </w:r>
      <w:r w:rsidR="00EF42D0" w:rsidRPr="001920CB">
        <w:t xml:space="preserve">equivalent </w:t>
      </w:r>
      <w:r w:rsidRPr="001920CB">
        <w:t xml:space="preserve">band </w:t>
      </w:r>
      <w:r w:rsidR="009F33B9" w:rsidRPr="001920CB">
        <w:t>(</w:t>
      </w:r>
      <w:r w:rsidR="0012359E" w:rsidRPr="001920CB">
        <w:t>number</w:t>
      </w:r>
      <w:r w:rsidR="009F33B9" w:rsidRPr="001920CB">
        <w:t>)</w:t>
      </w:r>
      <w:r w:rsidRPr="001920CB">
        <w:t xml:space="preserve"> would cover the </w:t>
      </w:r>
      <w:r w:rsidR="00CC3937" w:rsidRPr="001920CB">
        <w:t>loca</w:t>
      </w:r>
      <w:r w:rsidR="00367F92" w:rsidRPr="001920CB">
        <w:t xml:space="preserve">l regulatory requirements of </w:t>
      </w:r>
      <w:r w:rsidR="000063D1" w:rsidRPr="001920CB">
        <w:t xml:space="preserve">the </w:t>
      </w:r>
      <w:r w:rsidRPr="001920CB">
        <w:t xml:space="preserve">new </w:t>
      </w:r>
      <w:r w:rsidR="00AF462F" w:rsidRPr="001920CB">
        <w:t>sub band</w:t>
      </w:r>
      <w:r w:rsidR="00A145B9" w:rsidRPr="001920CB">
        <w:t xml:space="preserve"> not covered by conventional NS signal</w:t>
      </w:r>
      <w:r w:rsidR="007872EC" w:rsidRPr="001920CB">
        <w:t>l</w:t>
      </w:r>
      <w:r w:rsidR="00A145B9" w:rsidRPr="001920CB">
        <w:t>ing</w:t>
      </w:r>
      <w:r w:rsidR="007872EC" w:rsidRPr="001920CB">
        <w:t xml:space="preserve"> (</w:t>
      </w:r>
      <w:r w:rsidR="00F1008F" w:rsidRPr="001920CB">
        <w:t>indicating</w:t>
      </w:r>
      <w:r w:rsidR="00F1008F">
        <w:t xml:space="preserve"> </w:t>
      </w:r>
      <w:r w:rsidR="007872EC">
        <w:t xml:space="preserve">unwanted emission </w:t>
      </w:r>
      <w:r w:rsidR="00724CC2">
        <w:t>limit</w:t>
      </w:r>
      <w:r w:rsidR="007872EC">
        <w:t>s)</w:t>
      </w:r>
      <w:r>
        <w:t xml:space="preserve">. Comparing to n77 in USA, if 3GPP would have applied the new band approach in this scenario, a legacy UE only supporting the old range of n77 would indicate support for the legacy definition of n77 (e.g. </w:t>
      </w:r>
      <w:r w:rsidRPr="00DA6A2B">
        <w:t>3700 - 3980 MHz</w:t>
      </w:r>
      <w:r>
        <w:t xml:space="preserve"> in USA). A UE which supports </w:t>
      </w:r>
      <w:r w:rsidR="00A10DAA">
        <w:t>(is certified)</w:t>
      </w:r>
      <w:r>
        <w:t xml:space="preserve"> also the new range would, in addition to n77</w:t>
      </w:r>
      <w:r w:rsidR="000547EA">
        <w:t>,</w:t>
      </w:r>
      <w:r>
        <w:t xml:space="preserve"> also indicate support for </w:t>
      </w:r>
      <w:r w:rsidR="001920CB">
        <w:t>the new band number</w:t>
      </w:r>
      <w:r>
        <w:t>.</w:t>
      </w:r>
      <w:r w:rsidR="001A61A2">
        <w:t xml:space="preserve"> A cell in the </w:t>
      </w:r>
      <w:r w:rsidR="000547EA">
        <w:t xml:space="preserve">old </w:t>
      </w:r>
      <w:r w:rsidR="001A61A2">
        <w:t xml:space="preserve">region of the band would broadcast the </w:t>
      </w:r>
      <w:r w:rsidR="000547EA">
        <w:t xml:space="preserve">old </w:t>
      </w:r>
      <w:r w:rsidR="001A61A2">
        <w:t>band number (n77) while a cell in the new region of the band would broadcast the new band number.</w:t>
      </w:r>
    </w:p>
    <w:p w14:paraId="157C4369" w14:textId="1ECB0CD2" w:rsidR="00DA6A2B" w:rsidRDefault="00306649" w:rsidP="00DA6A2B">
      <w:pPr>
        <w:pStyle w:val="Observation"/>
      </w:pPr>
      <w:bookmarkStart w:id="2" w:name="_Toc113301023"/>
      <w:r>
        <w:t xml:space="preserve">With the new band number approach, </w:t>
      </w:r>
      <w:r w:rsidR="00DA6A2B">
        <w:t xml:space="preserve">RAN4 specifies that the new band number </w:t>
      </w:r>
      <w:r w:rsidR="002D1E61">
        <w:t xml:space="preserve">has the same </w:t>
      </w:r>
      <w:r w:rsidR="0060638F">
        <w:t xml:space="preserve">3GPP </w:t>
      </w:r>
      <w:r w:rsidR="002D1E61">
        <w:t xml:space="preserve">requirements as the band </w:t>
      </w:r>
      <w:r w:rsidR="00E86281">
        <w:t>with local restrictions</w:t>
      </w:r>
      <w:r w:rsidR="002D1E61">
        <w:t xml:space="preserve">, with the difference that the frequency range of the new </w:t>
      </w:r>
      <w:r w:rsidR="002D1E61">
        <w:t xml:space="preserve">band covers the new </w:t>
      </w:r>
      <w:r w:rsidR="00AF462F">
        <w:t>sub band</w:t>
      </w:r>
      <w:r w:rsidR="002D1E61">
        <w:t>(s).</w:t>
      </w:r>
      <w:bookmarkEnd w:id="2"/>
    </w:p>
    <w:p w14:paraId="0AE7DBBE" w14:textId="7D0A99DC" w:rsidR="005F18B7" w:rsidRDefault="005F18B7" w:rsidP="00FE1CCE">
      <w:pPr>
        <w:pStyle w:val="BodyText"/>
      </w:pPr>
      <w:r>
        <w:t xml:space="preserve">The equivalent band does not replace </w:t>
      </w:r>
      <w:r w:rsidR="00BF69C2">
        <w:t>conventional NS signalling but provides mean</w:t>
      </w:r>
      <w:r w:rsidR="00382507">
        <w:t xml:space="preserve">s for </w:t>
      </w:r>
      <w:r w:rsidR="00724CC2">
        <w:t xml:space="preserve">indicating additional </w:t>
      </w:r>
      <w:r w:rsidR="00FE22F1">
        <w:t xml:space="preserve">conditions in </w:t>
      </w:r>
      <w:r w:rsidR="00724CC2">
        <w:t xml:space="preserve">local regulation such as </w:t>
      </w:r>
      <w:r w:rsidR="00D2725B">
        <w:t xml:space="preserve">mandatory </w:t>
      </w:r>
      <w:r w:rsidR="00724CC2">
        <w:t>device certification</w:t>
      </w:r>
      <w:r w:rsidR="000742F1">
        <w:t>.</w:t>
      </w:r>
      <w:r w:rsidR="00B3463E">
        <w:t xml:space="preserve"> </w:t>
      </w:r>
    </w:p>
    <w:p w14:paraId="0C3CA552" w14:textId="58FCB8B8" w:rsidR="007C2D53" w:rsidRDefault="00DA6A2B" w:rsidP="00FE1CCE">
      <w:pPr>
        <w:pStyle w:val="BodyText"/>
      </w:pPr>
      <w:r>
        <w:t xml:space="preserve">It was identified in RAN2 that with the new band number-approach, in addition to that the UE would indicate this new band </w:t>
      </w:r>
      <w:r>
        <w:t xml:space="preserve">number in </w:t>
      </w:r>
      <w:r w:rsidRPr="00DA6A2B">
        <w:t xml:space="preserve">UE-NR-Capability </w:t>
      </w:r>
      <w:r>
        <w:t xml:space="preserve">-&gt; RF-Parameters -&gt; </w:t>
      </w:r>
      <w:proofErr w:type="spellStart"/>
      <w:r>
        <w:t>supportedBandList</w:t>
      </w:r>
      <w:proofErr w:type="spellEnd"/>
      <w:r>
        <w:t xml:space="preserve">, the UE band combinations would also be impacted. The band combinations are used to indicate CA and DC capabilities. If for example the UE supports Carrier Aggregation between band n77 and band X, the UE would in the band combination-signalling indicate a band combination entry comprising band n77 and </w:t>
      </w:r>
      <w:r w:rsidR="00306649">
        <w:t xml:space="preserve">another </w:t>
      </w:r>
      <w:r>
        <w:t xml:space="preserve">band X. If a new </w:t>
      </w:r>
      <w:r w:rsidR="00306649">
        <w:t xml:space="preserve">equivalent </w:t>
      </w:r>
      <w:r>
        <w:t xml:space="preserve">band </w:t>
      </w:r>
      <w:r w:rsidR="00306649">
        <w:t>(</w:t>
      </w:r>
      <w:r>
        <w:t>number</w:t>
      </w:r>
      <w:r w:rsidR="00306649">
        <w:t>)</w:t>
      </w:r>
      <w:r>
        <w:t xml:space="preserve"> would be introduced to indicate support for an extended version of n77, it was initially thought that the UE would have to send a lot of more band combinations</w:t>
      </w:r>
      <w:r w:rsidR="00306649">
        <w:t xml:space="preserve"> because the UE would have to indicate a band combination of the extended version of </w:t>
      </w:r>
      <w:r>
        <w:t>n77 and band X. This would (significantly) increase UE capability signalling overhead. This issue was discussed in RAN2</w:t>
      </w:r>
      <w:r w:rsidR="00306649">
        <w:t>,</w:t>
      </w:r>
      <w:r>
        <w:t xml:space="preserve"> and it was identified that with the new band number </w:t>
      </w:r>
      <w:r w:rsidR="00AF462F">
        <w:t xml:space="preserve">approach, it could be clarified </w:t>
      </w:r>
      <w:r w:rsidR="00306649">
        <w:t xml:space="preserve">in the specification </w:t>
      </w:r>
      <w:r w:rsidR="00AF462F">
        <w:t>that the UE does not include band combinations with the new band number</w:t>
      </w:r>
      <w:r w:rsidR="00306649">
        <w:t>,</w:t>
      </w:r>
      <w:r w:rsidR="004B2CB8">
        <w:t xml:space="preserve"> instead the UE only indicates band combinations with </w:t>
      </w:r>
      <w:r w:rsidR="004B2CB8">
        <w:lastRenderedPageBreak/>
        <w:t xml:space="preserve">the original band. The new band is only indicated </w:t>
      </w:r>
      <w:r w:rsidR="00306649">
        <w:t xml:space="preserve">as a </w:t>
      </w:r>
      <w:r w:rsidR="00AF462F">
        <w:t>supported band (</w:t>
      </w:r>
      <w:r w:rsidR="00AF462F" w:rsidRPr="00DA6A2B">
        <w:t xml:space="preserve">UE-NR-Capability </w:t>
      </w:r>
      <w:r w:rsidR="00AF462F">
        <w:t xml:space="preserve">-&gt; RF-Parameters -&gt; </w:t>
      </w:r>
      <w:proofErr w:type="spellStart"/>
      <w:r w:rsidR="00AF462F">
        <w:t>supportedBandList</w:t>
      </w:r>
      <w:proofErr w:type="spellEnd"/>
      <w:r w:rsidR="00AF462F">
        <w:t>)</w:t>
      </w:r>
      <w:r w:rsidR="00306649">
        <w:t>, but not included in band combination signalling</w:t>
      </w:r>
      <w:r w:rsidR="00AF462F">
        <w:t>.</w:t>
      </w:r>
    </w:p>
    <w:p w14:paraId="78F626E7" w14:textId="7E6BF892" w:rsidR="00DA3968" w:rsidRDefault="00DA6A2B" w:rsidP="00DA6A2B">
      <w:pPr>
        <w:pStyle w:val="Observation"/>
      </w:pPr>
      <w:bookmarkStart w:id="3" w:name="_Toc113301024"/>
      <w:r>
        <w:t xml:space="preserve">With the new </w:t>
      </w:r>
      <w:r>
        <w:t xml:space="preserve">band number approach, the UE does not </w:t>
      </w:r>
      <w:r w:rsidR="00AB506F">
        <w:t xml:space="preserve">indicate </w:t>
      </w:r>
      <w:r>
        <w:t>band combinations with the new band number.</w:t>
      </w:r>
      <w:bookmarkEnd w:id="3"/>
    </w:p>
    <w:p w14:paraId="5FB02258" w14:textId="1ABA6C69" w:rsidR="00DA6A2B" w:rsidRDefault="00DA6A2B" w:rsidP="00FE1CCE">
      <w:pPr>
        <w:pStyle w:val="BodyText"/>
      </w:pPr>
    </w:p>
    <w:p w14:paraId="7CDDC398" w14:textId="192CA219" w:rsidR="00AF462F" w:rsidRDefault="00AF462F" w:rsidP="00FE1CCE">
      <w:pPr>
        <w:pStyle w:val="BodyText"/>
      </w:pPr>
      <w:r>
        <w:t>The gNB would, for cells in the new range, broadcast the new band number. A legacy UE does not support the new band number and would therefore not camp on and would not attempt to connect to such a cell (requirement A is fulfilled). Also, the gNB knows from the supported band list that the UE does not support the new frequency range since it does not indicate support for the new band number (requirement B is fulfilled).</w:t>
      </w:r>
    </w:p>
    <w:p w14:paraId="4A5E323F" w14:textId="77777777" w:rsidR="00AF462F" w:rsidRDefault="00AF462F" w:rsidP="00FE1CCE">
      <w:pPr>
        <w:pStyle w:val="BodyText"/>
      </w:pPr>
    </w:p>
    <w:p w14:paraId="785A210E" w14:textId="5696D307" w:rsidR="00DA3968" w:rsidRDefault="00DA3968" w:rsidP="00DA3968">
      <w:pPr>
        <w:pStyle w:val="Heading3"/>
      </w:pPr>
      <w:r>
        <w:t>2.2.2</w:t>
      </w:r>
      <w:r>
        <w:tab/>
        <w:t>Capability bit and NS value</w:t>
      </w:r>
    </w:p>
    <w:p w14:paraId="02F496DB" w14:textId="5834531F" w:rsidR="00DA6A2B" w:rsidRDefault="00DA6A2B" w:rsidP="00FE1CCE">
      <w:pPr>
        <w:pStyle w:val="BodyText"/>
      </w:pPr>
      <w:r>
        <w:t>One approach for addressing n77-like issues is the approach that was adopted for n77 in USA and Canada. This solution relies on a capability bit and an associated NS-value.</w:t>
      </w:r>
    </w:p>
    <w:p w14:paraId="77EECD22" w14:textId="7104189C" w:rsidR="00AF462F" w:rsidRDefault="00AF462F" w:rsidP="00FE1CCE">
      <w:pPr>
        <w:pStyle w:val="BodyText"/>
      </w:pPr>
      <w:r>
        <w:t xml:space="preserve">With this approach, a new capability bit is added. For USA and Canada, these were named extendedBand-n77 and </w:t>
      </w:r>
      <w:r w:rsidR="0088725E" w:rsidRPr="0088725E">
        <w:t>extendedBand-n77</w:t>
      </w:r>
      <w:r w:rsidR="0088725E">
        <w:t>-2, respectively. A UE supporting the new range will include this capability bit in the capabilities (hence fulfilling requirement B).</w:t>
      </w:r>
    </w:p>
    <w:p w14:paraId="453107B7" w14:textId="0E14FBD5" w:rsidR="0088725E" w:rsidRDefault="0088725E" w:rsidP="00FE1CCE">
      <w:pPr>
        <w:pStyle w:val="BodyText"/>
      </w:pPr>
      <w:r>
        <w:t xml:space="preserve">However, to address requirement A, a UE not supporting the requirements of the new </w:t>
      </w:r>
      <w:proofErr w:type="spellStart"/>
      <w:r>
        <w:t>subband</w:t>
      </w:r>
      <w:proofErr w:type="spellEnd"/>
      <w:r>
        <w:t xml:space="preserve">(s) shall not camp on or connects to a cell in the new sub band. This is achieved by </w:t>
      </w:r>
      <w:r w:rsidR="00306649">
        <w:t xml:space="preserve">introducing </w:t>
      </w:r>
      <w:r>
        <w:t>a new NS</w:t>
      </w:r>
      <w:r w:rsidR="00306649">
        <w:t xml:space="preserve"> </w:t>
      </w:r>
      <w:r>
        <w:t>value. NS</w:t>
      </w:r>
      <w:r w:rsidR="00306649">
        <w:t xml:space="preserve"> </w:t>
      </w:r>
      <w:r>
        <w:t>values work so that the gNB broadcasts one or more NS values for a cell and if the UE supports at least one of these broadcasted NS values, the UE considers this cell a candidate cell, otherwise the cell is considered barred. For USA and Canada, NS 55 and NS 57 were introduced</w:t>
      </w:r>
      <w:r w:rsidR="009A54FC">
        <w:t>.</w:t>
      </w:r>
    </w:p>
    <w:p w14:paraId="5DA4D25A" w14:textId="7973365F" w:rsidR="006A2A82" w:rsidRDefault="00611158" w:rsidP="00FE1CCE">
      <w:pPr>
        <w:pStyle w:val="BodyText"/>
      </w:pPr>
      <w:r>
        <w:t xml:space="preserve">It should be noted that the purpose of NS values is to indicate that additional requirements apply for a cell. For example, that RAN4 has defined some additional maximum power reduction requirements which the UE must comply with </w:t>
      </w:r>
      <w:r w:rsidR="00306649">
        <w:t>to</w:t>
      </w:r>
      <w:r>
        <w:t xml:space="preserve"> use the cell. However, in this solution, the NS values are used as a</w:t>
      </w:r>
      <w:r w:rsidR="006A2A82">
        <w:t xml:space="preserve"> means to bar UEs rather than to indicate that additional RAN4 requirements apply.</w:t>
      </w:r>
    </w:p>
    <w:p w14:paraId="02DA5E80" w14:textId="2316E585" w:rsidR="006A2A82" w:rsidRDefault="006A2A82" w:rsidP="006A2A82">
      <w:pPr>
        <w:pStyle w:val="Observation"/>
      </w:pPr>
      <w:bookmarkStart w:id="4" w:name="_Toc113301025"/>
      <w:r>
        <w:t>With the approach</w:t>
      </w:r>
      <w:r w:rsidR="006220B8">
        <w:t xml:space="preserve"> with a capability bit and NS value</w:t>
      </w:r>
      <w:r>
        <w:t>, RAN</w:t>
      </w:r>
      <w:r>
        <w:t>2</w:t>
      </w:r>
      <w:r>
        <w:t xml:space="preserve"> </w:t>
      </w:r>
      <w:r>
        <w:t>introduces a new UE capability indicating that the UE support the additional sub band(s) of a band</w:t>
      </w:r>
      <w:r>
        <w:t>.</w:t>
      </w:r>
      <w:r>
        <w:t xml:space="preserve"> RAN4 defines a new NS value which is used to bar UEs not supporting the additional sub band(s).</w:t>
      </w:r>
      <w:bookmarkEnd w:id="4"/>
    </w:p>
    <w:p w14:paraId="08874578" w14:textId="7578F4FB" w:rsidR="00DA3968" w:rsidRDefault="00DA3968" w:rsidP="00FE1CCE">
      <w:pPr>
        <w:pStyle w:val="BodyText"/>
      </w:pPr>
    </w:p>
    <w:p w14:paraId="3C5B254A" w14:textId="77777777" w:rsidR="006A2A82" w:rsidRDefault="006A2A82" w:rsidP="00FE1CCE">
      <w:pPr>
        <w:pStyle w:val="BodyText"/>
      </w:pPr>
    </w:p>
    <w:p w14:paraId="0A53C966" w14:textId="56827619" w:rsidR="00DA3968" w:rsidRDefault="006A2A82" w:rsidP="006A2A82">
      <w:pPr>
        <w:pStyle w:val="Heading3"/>
      </w:pPr>
      <w:r>
        <w:t>2.2.3</w:t>
      </w:r>
      <w:r>
        <w:tab/>
        <w:t>Comparison</w:t>
      </w:r>
    </w:p>
    <w:p w14:paraId="43C4DD3A" w14:textId="7D7471A8" w:rsidR="00FE1CCE" w:rsidRDefault="006A2A82" w:rsidP="00FE1CCE">
      <w:pPr>
        <w:pStyle w:val="BodyText"/>
      </w:pPr>
      <w:r>
        <w:t xml:space="preserve">The new band number </w:t>
      </w:r>
      <w:r w:rsidR="001A61A2">
        <w:t xml:space="preserve">approach </w:t>
      </w:r>
      <w:r>
        <w:t>relies on existing procedures</w:t>
      </w:r>
      <w:r w:rsidR="001A61A2">
        <w:t xml:space="preserve"> in the gNB and the UE.</w:t>
      </w:r>
      <w:r>
        <w:t xml:space="preserve"> </w:t>
      </w:r>
      <w:r w:rsidR="001A61A2">
        <w:t xml:space="preserve">RAN4 would define a new band number which points to the original band. </w:t>
      </w:r>
      <w:r>
        <w:t xml:space="preserve">RAN2 impact will be next to nothing. As described above, there is an impact on how supported band combinations should be signalled with these new band numbers, however, we expect that a </w:t>
      </w:r>
      <w:r w:rsidRPr="001A61A2">
        <w:rPr>
          <w:b/>
          <w:bCs/>
        </w:rPr>
        <w:t>general</w:t>
      </w:r>
      <w:r>
        <w:t xml:space="preserve"> description regarding how band combination signalling should be done for these type of new band numbers</w:t>
      </w:r>
      <w:r w:rsidR="001A61A2">
        <w:t xml:space="preserve"> meaning that RAN2 will do this one time and does not need to do further work if this approach is used again</w:t>
      </w:r>
      <w:r>
        <w:t>.</w:t>
      </w:r>
    </w:p>
    <w:p w14:paraId="494093B1" w14:textId="77777777" w:rsidR="00E42465" w:rsidRDefault="001A61A2" w:rsidP="00E42465">
      <w:pPr>
        <w:pStyle w:val="BodyText"/>
      </w:pPr>
      <w:r>
        <w:t>The approach with a new capability bit and associated NS value requires work both in RAN2 and RAN4 each time. The NS value signalling with this approach is not aligned with the intention of NS values</w:t>
      </w:r>
      <w:r w:rsidR="00EE70C0">
        <w:t>:</w:t>
      </w:r>
      <w:r w:rsidR="00324281">
        <w:t xml:space="preserve"> NS values are used to indicate </w:t>
      </w:r>
      <w:r w:rsidR="00EE70C0">
        <w:t xml:space="preserve">that </w:t>
      </w:r>
      <w:r w:rsidR="00324281">
        <w:t xml:space="preserve">additional requirements apply </w:t>
      </w:r>
      <w:r w:rsidR="00EE70C0">
        <w:t xml:space="preserve">for a cell in a band. However, in this solution, the </w:t>
      </w:r>
      <w:r w:rsidR="00E42465">
        <w:t>NS values are used only for barring UEs not indicating support for the capability bit.</w:t>
      </w:r>
    </w:p>
    <w:p w14:paraId="137361CF" w14:textId="371742B9" w:rsidR="001A61A2" w:rsidRDefault="00E42465" w:rsidP="00E42465">
      <w:pPr>
        <w:pStyle w:val="BodyText"/>
      </w:pPr>
      <w:r>
        <w:t>While both solutions work, we think that the new band number approach is more appropriate</w:t>
      </w:r>
      <w:r w:rsidR="00E94D2E">
        <w:t>.</w:t>
      </w:r>
    </w:p>
    <w:p w14:paraId="2603006B" w14:textId="12C91195" w:rsidR="00E94D2E" w:rsidRDefault="00E94D2E" w:rsidP="001D7C18">
      <w:pPr>
        <w:pStyle w:val="Proposal"/>
      </w:pPr>
      <w:bookmarkStart w:id="5" w:name="_Toc113301026"/>
      <w:r>
        <w:t>The new band number approach is recommended</w:t>
      </w:r>
      <w:r w:rsidR="00306649">
        <w:t xml:space="preserve"> to address potential n77-like issues in the future</w:t>
      </w:r>
      <w:r w:rsidR="001D7C18">
        <w:t>.</w:t>
      </w:r>
      <w:bookmarkEnd w:id="5"/>
    </w:p>
    <w:p w14:paraId="2DD59319" w14:textId="77777777" w:rsidR="006A2A82" w:rsidRPr="00CE0424" w:rsidRDefault="006A2A82" w:rsidP="00FE1CCE">
      <w:pPr>
        <w:pStyle w:val="BodyText"/>
      </w:pPr>
    </w:p>
    <w:p w14:paraId="20D74898" w14:textId="4A708D2C" w:rsidR="00C01F33" w:rsidRPr="00CE0424" w:rsidRDefault="00DA3968" w:rsidP="00CE0424">
      <w:pPr>
        <w:pStyle w:val="Heading1"/>
      </w:pPr>
      <w:r>
        <w:lastRenderedPageBreak/>
        <w:t>3</w:t>
      </w:r>
      <w:r>
        <w:tab/>
      </w:r>
      <w:r w:rsidR="00C01F33" w:rsidRPr="00CE0424">
        <w:t>Conclusion</w:t>
      </w:r>
    </w:p>
    <w:p w14:paraId="08AB1E0D" w14:textId="3F068BE8" w:rsidR="00DA3968" w:rsidRDefault="00DA3968" w:rsidP="008E065E">
      <w:pPr>
        <w:pStyle w:val="BodyText"/>
      </w:pPr>
      <w:r>
        <w:t>In the sections above we have discussed the root cause for the n77-like issues and discussed the solutions that has been identified for these type</w:t>
      </w:r>
      <w:r w:rsidR="001920CB">
        <w:t>s</w:t>
      </w:r>
      <w:r>
        <w:t xml:space="preserve"> of issues. We are proposing that RAN should recommend that the solution based on a new band number should be defined.</w:t>
      </w:r>
    </w:p>
    <w:p w14:paraId="1F2FAD5C" w14:textId="77777777" w:rsidR="00DA3968" w:rsidRDefault="00DA3968" w:rsidP="008E065E">
      <w:pPr>
        <w:pStyle w:val="BodyText"/>
      </w:pPr>
    </w:p>
    <w:p w14:paraId="7E08B161" w14:textId="27AC7C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2ABD2A" w14:textId="79005790" w:rsidR="0030664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3301023" w:history="1">
        <w:r w:rsidR="00306649" w:rsidRPr="00D03C03">
          <w:rPr>
            <w:rStyle w:val="Hyperlink"/>
            <w:noProof/>
          </w:rPr>
          <w:t>Observation 1</w:t>
        </w:r>
        <w:r w:rsidR="00306649">
          <w:rPr>
            <w:rFonts w:asciiTheme="minorHAnsi" w:eastAsiaTheme="minorEastAsia" w:hAnsiTheme="minorHAnsi" w:cstheme="minorBidi"/>
            <w:b w:val="0"/>
            <w:noProof/>
            <w:sz w:val="22"/>
            <w:szCs w:val="22"/>
            <w:lang w:val="en-SE" w:eastAsia="en-SE"/>
          </w:rPr>
          <w:tab/>
        </w:r>
        <w:r w:rsidR="00306649" w:rsidRPr="00D03C03">
          <w:rPr>
            <w:rStyle w:val="Hyperlink"/>
            <w:noProof/>
          </w:rPr>
          <w:t>With the new band number approach, RAN4 specifies that the new band number has the same 3GPP requirements as the band with local restrictions, with the difference that the frequency range of the new band covers the new sub band(s).</w:t>
        </w:r>
      </w:hyperlink>
    </w:p>
    <w:p w14:paraId="4EA7D98F" w14:textId="400E5065" w:rsidR="00306649" w:rsidRDefault="0030664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301024" w:history="1">
        <w:r w:rsidRPr="00D03C03">
          <w:rPr>
            <w:rStyle w:val="Hyperlink"/>
            <w:noProof/>
          </w:rPr>
          <w:t>Observation 2</w:t>
        </w:r>
        <w:r>
          <w:rPr>
            <w:rFonts w:asciiTheme="minorHAnsi" w:eastAsiaTheme="minorEastAsia" w:hAnsiTheme="minorHAnsi" w:cstheme="minorBidi"/>
            <w:b w:val="0"/>
            <w:noProof/>
            <w:sz w:val="22"/>
            <w:szCs w:val="22"/>
            <w:lang w:val="en-SE" w:eastAsia="en-SE"/>
          </w:rPr>
          <w:tab/>
        </w:r>
        <w:r w:rsidRPr="00D03C03">
          <w:rPr>
            <w:rStyle w:val="Hyperlink"/>
            <w:noProof/>
          </w:rPr>
          <w:t>With the new band number approach, the UE does not indicate band combinations with the new band number.</w:t>
        </w:r>
      </w:hyperlink>
    </w:p>
    <w:p w14:paraId="185232F8" w14:textId="26F53B1B" w:rsidR="00306649" w:rsidRDefault="0030664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301025" w:history="1">
        <w:r w:rsidRPr="00D03C03">
          <w:rPr>
            <w:rStyle w:val="Hyperlink"/>
            <w:noProof/>
          </w:rPr>
          <w:t>Observation 3</w:t>
        </w:r>
        <w:r>
          <w:rPr>
            <w:rFonts w:asciiTheme="minorHAnsi" w:eastAsiaTheme="minorEastAsia" w:hAnsiTheme="minorHAnsi" w:cstheme="minorBidi"/>
            <w:b w:val="0"/>
            <w:noProof/>
            <w:sz w:val="22"/>
            <w:szCs w:val="22"/>
            <w:lang w:val="en-SE" w:eastAsia="en-SE"/>
          </w:rPr>
          <w:tab/>
        </w:r>
        <w:r w:rsidRPr="00D03C03">
          <w:rPr>
            <w:rStyle w:val="Hyperlink"/>
            <w:noProof/>
          </w:rPr>
          <w:t>With the approach with a capability bit and NS value, RAN2 introduces a new UE capability indicating that the UE support the additional sub band(s) of a band. RAN4 defines a new NS value which is used to bar UEs not supporting the additional sub band(s).</w:t>
        </w:r>
      </w:hyperlink>
    </w:p>
    <w:p w14:paraId="7570C759" w14:textId="4A056969"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C1AE88" w14:textId="7BC44780" w:rsidR="0030664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3301026" w:history="1">
        <w:r w:rsidR="00306649" w:rsidRPr="00810A37">
          <w:rPr>
            <w:rStyle w:val="Hyperlink"/>
            <w:noProof/>
          </w:rPr>
          <w:t>Proposal 1</w:t>
        </w:r>
        <w:r w:rsidR="00306649">
          <w:rPr>
            <w:rFonts w:asciiTheme="minorHAnsi" w:eastAsiaTheme="minorEastAsia" w:hAnsiTheme="minorHAnsi" w:cstheme="minorBidi"/>
            <w:b w:val="0"/>
            <w:noProof/>
            <w:sz w:val="22"/>
            <w:szCs w:val="22"/>
            <w:lang w:val="en-SE" w:eastAsia="en-SE"/>
          </w:rPr>
          <w:tab/>
        </w:r>
        <w:r w:rsidR="00306649" w:rsidRPr="00810A37">
          <w:rPr>
            <w:rStyle w:val="Hyperlink"/>
            <w:noProof/>
          </w:rPr>
          <w:t>The new band number approach is recommended to address potential n77-like issues in the future.</w:t>
        </w:r>
      </w:hyperlink>
    </w:p>
    <w:p w14:paraId="0307436E" w14:textId="01968457" w:rsidR="006E1C82" w:rsidRPr="00CE0424" w:rsidRDefault="006E1C82" w:rsidP="006E1C82">
      <w:pPr>
        <w:pStyle w:val="BodyText"/>
        <w:rPr>
          <w:b/>
          <w:bCs/>
        </w:rPr>
      </w:pPr>
      <w:r>
        <w:rPr>
          <w:b/>
          <w:bCs/>
          <w:lang w:val="en-US"/>
        </w:rPr>
        <w:fldChar w:fldCharType="end"/>
      </w:r>
      <w:r w:rsidRPr="00CE0424">
        <w:rPr>
          <w:b/>
          <w:bCs/>
        </w:rPr>
        <w:t xml:space="preserve"> </w:t>
      </w:r>
    </w:p>
    <w:p w14:paraId="019D623B" w14:textId="77777777" w:rsidR="008E065E" w:rsidRPr="00CE0424" w:rsidRDefault="008E065E" w:rsidP="008E065E">
      <w:pPr>
        <w:rPr>
          <w:b/>
          <w:bCs/>
        </w:rPr>
      </w:pPr>
    </w:p>
    <w:sectPr w:rsidR="008E065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F7F52" w14:textId="77777777" w:rsidR="0097014A" w:rsidRDefault="0097014A">
      <w:r>
        <w:separator/>
      </w:r>
    </w:p>
  </w:endnote>
  <w:endnote w:type="continuationSeparator" w:id="0">
    <w:p w14:paraId="0D907B10" w14:textId="77777777" w:rsidR="0097014A" w:rsidRDefault="0097014A">
      <w:r>
        <w:continuationSeparator/>
      </w:r>
    </w:p>
  </w:endnote>
  <w:endnote w:type="continuationNotice" w:id="1">
    <w:p w14:paraId="45723A92" w14:textId="77777777" w:rsidR="007D6B6D" w:rsidRDefault="007D6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E39F" w14:textId="77777777" w:rsidR="0097014A" w:rsidRDefault="0097014A">
      <w:r>
        <w:separator/>
      </w:r>
    </w:p>
  </w:footnote>
  <w:footnote w:type="continuationSeparator" w:id="0">
    <w:p w14:paraId="7F5751FD" w14:textId="77777777" w:rsidR="0097014A" w:rsidRDefault="0097014A">
      <w:r>
        <w:continuationSeparator/>
      </w:r>
    </w:p>
  </w:footnote>
  <w:footnote w:type="continuationNotice" w:id="1">
    <w:p w14:paraId="6B1DF712" w14:textId="77777777" w:rsidR="007D6B6D" w:rsidRDefault="007D6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64151"/>
    <w:multiLevelType w:val="hybridMultilevel"/>
    <w:tmpl w:val="15CED146"/>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21"/>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79B"/>
    <w:rsid w:val="000017FF"/>
    <w:rsid w:val="00002A37"/>
    <w:rsid w:val="0000564C"/>
    <w:rsid w:val="000063D1"/>
    <w:rsid w:val="00006446"/>
    <w:rsid w:val="00006896"/>
    <w:rsid w:val="00007CA0"/>
    <w:rsid w:val="00007CDC"/>
    <w:rsid w:val="00011B28"/>
    <w:rsid w:val="0001256D"/>
    <w:rsid w:val="000138D8"/>
    <w:rsid w:val="00015D15"/>
    <w:rsid w:val="00015FBE"/>
    <w:rsid w:val="0002564D"/>
    <w:rsid w:val="00025ECA"/>
    <w:rsid w:val="000325B8"/>
    <w:rsid w:val="0003445A"/>
    <w:rsid w:val="00034C15"/>
    <w:rsid w:val="00036BA1"/>
    <w:rsid w:val="00037576"/>
    <w:rsid w:val="000400CA"/>
    <w:rsid w:val="000422E2"/>
    <w:rsid w:val="00042F22"/>
    <w:rsid w:val="000444EF"/>
    <w:rsid w:val="00052A07"/>
    <w:rsid w:val="000534E3"/>
    <w:rsid w:val="000547EA"/>
    <w:rsid w:val="0005606A"/>
    <w:rsid w:val="00057117"/>
    <w:rsid w:val="000616E7"/>
    <w:rsid w:val="0006487E"/>
    <w:rsid w:val="00065E1A"/>
    <w:rsid w:val="0007390D"/>
    <w:rsid w:val="000742F1"/>
    <w:rsid w:val="00077E5F"/>
    <w:rsid w:val="0008036A"/>
    <w:rsid w:val="00081AE6"/>
    <w:rsid w:val="000855EB"/>
    <w:rsid w:val="00085B52"/>
    <w:rsid w:val="000866F2"/>
    <w:rsid w:val="0009009F"/>
    <w:rsid w:val="0009079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FA6"/>
    <w:rsid w:val="000E0527"/>
    <w:rsid w:val="000E1E92"/>
    <w:rsid w:val="000E47DD"/>
    <w:rsid w:val="000F06D6"/>
    <w:rsid w:val="000F0EB1"/>
    <w:rsid w:val="000F1106"/>
    <w:rsid w:val="000F3BE9"/>
    <w:rsid w:val="000F3F6C"/>
    <w:rsid w:val="000F6DF3"/>
    <w:rsid w:val="001005FF"/>
    <w:rsid w:val="001062FB"/>
    <w:rsid w:val="001063E6"/>
    <w:rsid w:val="00111280"/>
    <w:rsid w:val="001130B8"/>
    <w:rsid w:val="001135C5"/>
    <w:rsid w:val="00113CF4"/>
    <w:rsid w:val="001147B4"/>
    <w:rsid w:val="001153EA"/>
    <w:rsid w:val="00115643"/>
    <w:rsid w:val="00116765"/>
    <w:rsid w:val="001219F5"/>
    <w:rsid w:val="00121A20"/>
    <w:rsid w:val="0012359E"/>
    <w:rsid w:val="0012377F"/>
    <w:rsid w:val="00124314"/>
    <w:rsid w:val="00126B4A"/>
    <w:rsid w:val="00132FD0"/>
    <w:rsid w:val="001344C0"/>
    <w:rsid w:val="001346FA"/>
    <w:rsid w:val="00135252"/>
    <w:rsid w:val="00137AB5"/>
    <w:rsid w:val="00137F0B"/>
    <w:rsid w:val="001451B7"/>
    <w:rsid w:val="00151E23"/>
    <w:rsid w:val="001526E0"/>
    <w:rsid w:val="001551B5"/>
    <w:rsid w:val="001659C1"/>
    <w:rsid w:val="00171308"/>
    <w:rsid w:val="00173A8E"/>
    <w:rsid w:val="0017502C"/>
    <w:rsid w:val="00175EA5"/>
    <w:rsid w:val="0018143F"/>
    <w:rsid w:val="00181FF8"/>
    <w:rsid w:val="00190AC1"/>
    <w:rsid w:val="001920CB"/>
    <w:rsid w:val="0019341A"/>
    <w:rsid w:val="001945C4"/>
    <w:rsid w:val="00197DF9"/>
    <w:rsid w:val="001A1666"/>
    <w:rsid w:val="001A1987"/>
    <w:rsid w:val="001A2564"/>
    <w:rsid w:val="001A6173"/>
    <w:rsid w:val="001A61A2"/>
    <w:rsid w:val="001A6CBA"/>
    <w:rsid w:val="001B0D97"/>
    <w:rsid w:val="001B5A5D"/>
    <w:rsid w:val="001C0AFD"/>
    <w:rsid w:val="001C1CE5"/>
    <w:rsid w:val="001C3D2A"/>
    <w:rsid w:val="001D51BA"/>
    <w:rsid w:val="001D53E7"/>
    <w:rsid w:val="001D556C"/>
    <w:rsid w:val="001D6342"/>
    <w:rsid w:val="001D6D53"/>
    <w:rsid w:val="001D7C18"/>
    <w:rsid w:val="001E58E2"/>
    <w:rsid w:val="001E7AED"/>
    <w:rsid w:val="001F3916"/>
    <w:rsid w:val="001F54C5"/>
    <w:rsid w:val="001F662C"/>
    <w:rsid w:val="001F7074"/>
    <w:rsid w:val="00200490"/>
    <w:rsid w:val="00201F3A"/>
    <w:rsid w:val="00203F96"/>
    <w:rsid w:val="002069B2"/>
    <w:rsid w:val="00207FA3"/>
    <w:rsid w:val="0021331D"/>
    <w:rsid w:val="0021342A"/>
    <w:rsid w:val="00214DA8"/>
    <w:rsid w:val="00215423"/>
    <w:rsid w:val="002158FA"/>
    <w:rsid w:val="00220600"/>
    <w:rsid w:val="002224DB"/>
    <w:rsid w:val="00223FCB"/>
    <w:rsid w:val="002252C3"/>
    <w:rsid w:val="00225C54"/>
    <w:rsid w:val="002278E0"/>
    <w:rsid w:val="00230765"/>
    <w:rsid w:val="00230D18"/>
    <w:rsid w:val="002319E4"/>
    <w:rsid w:val="00235632"/>
    <w:rsid w:val="00235872"/>
    <w:rsid w:val="00235EA6"/>
    <w:rsid w:val="00241559"/>
    <w:rsid w:val="002435B3"/>
    <w:rsid w:val="002458EB"/>
    <w:rsid w:val="002500C8"/>
    <w:rsid w:val="002511D9"/>
    <w:rsid w:val="002522C9"/>
    <w:rsid w:val="00253CE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18"/>
    <w:rsid w:val="00286ACD"/>
    <w:rsid w:val="00287838"/>
    <w:rsid w:val="002907B5"/>
    <w:rsid w:val="00292EB7"/>
    <w:rsid w:val="00296227"/>
    <w:rsid w:val="00296F44"/>
    <w:rsid w:val="0029777D"/>
    <w:rsid w:val="002A055E"/>
    <w:rsid w:val="002A1D4E"/>
    <w:rsid w:val="002A2869"/>
    <w:rsid w:val="002A2D82"/>
    <w:rsid w:val="002B24D6"/>
    <w:rsid w:val="002C41E6"/>
    <w:rsid w:val="002D071A"/>
    <w:rsid w:val="002D1E61"/>
    <w:rsid w:val="002D34B2"/>
    <w:rsid w:val="002D48B0"/>
    <w:rsid w:val="002D5B37"/>
    <w:rsid w:val="002D7637"/>
    <w:rsid w:val="002E17F2"/>
    <w:rsid w:val="002E7CAE"/>
    <w:rsid w:val="002F03FC"/>
    <w:rsid w:val="002F0F8A"/>
    <w:rsid w:val="002F2531"/>
    <w:rsid w:val="002F2771"/>
    <w:rsid w:val="002F37A9"/>
    <w:rsid w:val="00301CE6"/>
    <w:rsid w:val="0030256B"/>
    <w:rsid w:val="0030501F"/>
    <w:rsid w:val="00306649"/>
    <w:rsid w:val="00307BA1"/>
    <w:rsid w:val="00311702"/>
    <w:rsid w:val="00311E82"/>
    <w:rsid w:val="00313FD6"/>
    <w:rsid w:val="003143BD"/>
    <w:rsid w:val="00314BC9"/>
    <w:rsid w:val="00315363"/>
    <w:rsid w:val="003203ED"/>
    <w:rsid w:val="00322C9F"/>
    <w:rsid w:val="00324281"/>
    <w:rsid w:val="00324D23"/>
    <w:rsid w:val="00331751"/>
    <w:rsid w:val="00334579"/>
    <w:rsid w:val="00335574"/>
    <w:rsid w:val="00335858"/>
    <w:rsid w:val="00336BDA"/>
    <w:rsid w:val="00342BD7"/>
    <w:rsid w:val="00346DB5"/>
    <w:rsid w:val="003477B1"/>
    <w:rsid w:val="00357380"/>
    <w:rsid w:val="003602D9"/>
    <w:rsid w:val="003604CE"/>
    <w:rsid w:val="003626D9"/>
    <w:rsid w:val="00367F92"/>
    <w:rsid w:val="00370E47"/>
    <w:rsid w:val="00372ACC"/>
    <w:rsid w:val="00373A69"/>
    <w:rsid w:val="003742AC"/>
    <w:rsid w:val="00377CE1"/>
    <w:rsid w:val="00382507"/>
    <w:rsid w:val="00385BF0"/>
    <w:rsid w:val="003939FF"/>
    <w:rsid w:val="003A2223"/>
    <w:rsid w:val="003A2A0F"/>
    <w:rsid w:val="003A45A1"/>
    <w:rsid w:val="003A5B0A"/>
    <w:rsid w:val="003A6BAC"/>
    <w:rsid w:val="003A70A4"/>
    <w:rsid w:val="003A7EF3"/>
    <w:rsid w:val="003B159C"/>
    <w:rsid w:val="003B2BC3"/>
    <w:rsid w:val="003B369F"/>
    <w:rsid w:val="003B36A3"/>
    <w:rsid w:val="003B64BB"/>
    <w:rsid w:val="003B7FE5"/>
    <w:rsid w:val="003C11C8"/>
    <w:rsid w:val="003C1300"/>
    <w:rsid w:val="003C2702"/>
    <w:rsid w:val="003C4734"/>
    <w:rsid w:val="003C7806"/>
    <w:rsid w:val="003C7912"/>
    <w:rsid w:val="003D109F"/>
    <w:rsid w:val="003D2478"/>
    <w:rsid w:val="003D3C45"/>
    <w:rsid w:val="003D5B1F"/>
    <w:rsid w:val="003E15FA"/>
    <w:rsid w:val="003E4159"/>
    <w:rsid w:val="003E55E4"/>
    <w:rsid w:val="003E691D"/>
    <w:rsid w:val="003E6977"/>
    <w:rsid w:val="003E74E3"/>
    <w:rsid w:val="003F05C7"/>
    <w:rsid w:val="003F0D48"/>
    <w:rsid w:val="003F2CD4"/>
    <w:rsid w:val="003F6BBE"/>
    <w:rsid w:val="004000E8"/>
    <w:rsid w:val="00400D4C"/>
    <w:rsid w:val="00402E2B"/>
    <w:rsid w:val="0040512B"/>
    <w:rsid w:val="00405CA5"/>
    <w:rsid w:val="00407CD3"/>
    <w:rsid w:val="00410134"/>
    <w:rsid w:val="00410B72"/>
    <w:rsid w:val="00410F18"/>
    <w:rsid w:val="0041263E"/>
    <w:rsid w:val="00412FE4"/>
    <w:rsid w:val="00413AAC"/>
    <w:rsid w:val="00413E92"/>
    <w:rsid w:val="00421105"/>
    <w:rsid w:val="00422AA4"/>
    <w:rsid w:val="004242F4"/>
    <w:rsid w:val="00427248"/>
    <w:rsid w:val="00437447"/>
    <w:rsid w:val="00441A92"/>
    <w:rsid w:val="00441BD1"/>
    <w:rsid w:val="004431DC"/>
    <w:rsid w:val="00444F56"/>
    <w:rsid w:val="00445780"/>
    <w:rsid w:val="00446488"/>
    <w:rsid w:val="004517AA"/>
    <w:rsid w:val="00452CAC"/>
    <w:rsid w:val="00457565"/>
    <w:rsid w:val="00457B71"/>
    <w:rsid w:val="004669E2"/>
    <w:rsid w:val="00470C31"/>
    <w:rsid w:val="00471DE0"/>
    <w:rsid w:val="004734D0"/>
    <w:rsid w:val="0047556B"/>
    <w:rsid w:val="004757A1"/>
    <w:rsid w:val="00477768"/>
    <w:rsid w:val="00492BC5"/>
    <w:rsid w:val="004964F1"/>
    <w:rsid w:val="004A16BC"/>
    <w:rsid w:val="004A2B94"/>
    <w:rsid w:val="004A520F"/>
    <w:rsid w:val="004A6DD3"/>
    <w:rsid w:val="004B2CB8"/>
    <w:rsid w:val="004B3251"/>
    <w:rsid w:val="004B5B3F"/>
    <w:rsid w:val="004B6F6A"/>
    <w:rsid w:val="004B7C0C"/>
    <w:rsid w:val="004C3898"/>
    <w:rsid w:val="004D2405"/>
    <w:rsid w:val="004D36B1"/>
    <w:rsid w:val="004D4DC3"/>
    <w:rsid w:val="004D68A8"/>
    <w:rsid w:val="004D7218"/>
    <w:rsid w:val="004D7EBD"/>
    <w:rsid w:val="004E2680"/>
    <w:rsid w:val="004E28F9"/>
    <w:rsid w:val="004E462E"/>
    <w:rsid w:val="004E4709"/>
    <w:rsid w:val="004E56DC"/>
    <w:rsid w:val="004E76F4"/>
    <w:rsid w:val="004F0B4E"/>
    <w:rsid w:val="004F0B6C"/>
    <w:rsid w:val="004F2078"/>
    <w:rsid w:val="004F4DA3"/>
    <w:rsid w:val="00506557"/>
    <w:rsid w:val="0050677A"/>
    <w:rsid w:val="005108D8"/>
    <w:rsid w:val="005116F9"/>
    <w:rsid w:val="005153A7"/>
    <w:rsid w:val="005204D8"/>
    <w:rsid w:val="005219CF"/>
    <w:rsid w:val="00525359"/>
    <w:rsid w:val="005326F8"/>
    <w:rsid w:val="00534B59"/>
    <w:rsid w:val="00536759"/>
    <w:rsid w:val="00537C62"/>
    <w:rsid w:val="005404D9"/>
    <w:rsid w:val="00546415"/>
    <w:rsid w:val="00546970"/>
    <w:rsid w:val="00554E19"/>
    <w:rsid w:val="00555CCA"/>
    <w:rsid w:val="0056121F"/>
    <w:rsid w:val="00570835"/>
    <w:rsid w:val="00571568"/>
    <w:rsid w:val="00572505"/>
    <w:rsid w:val="005767C8"/>
    <w:rsid w:val="00582809"/>
    <w:rsid w:val="0058729C"/>
    <w:rsid w:val="0058798C"/>
    <w:rsid w:val="005900FA"/>
    <w:rsid w:val="005935A4"/>
    <w:rsid w:val="005948C2"/>
    <w:rsid w:val="00595DCA"/>
    <w:rsid w:val="0059779B"/>
    <w:rsid w:val="005A209A"/>
    <w:rsid w:val="005A662D"/>
    <w:rsid w:val="005B0AC7"/>
    <w:rsid w:val="005B1409"/>
    <w:rsid w:val="005B35D7"/>
    <w:rsid w:val="005B392A"/>
    <w:rsid w:val="005B3AA3"/>
    <w:rsid w:val="005B6F83"/>
    <w:rsid w:val="005C2A30"/>
    <w:rsid w:val="005C74FB"/>
    <w:rsid w:val="005D1602"/>
    <w:rsid w:val="005E250B"/>
    <w:rsid w:val="005E385F"/>
    <w:rsid w:val="005E5B81"/>
    <w:rsid w:val="005F18B7"/>
    <w:rsid w:val="005F2CB1"/>
    <w:rsid w:val="005F3025"/>
    <w:rsid w:val="005F618C"/>
    <w:rsid w:val="005F70BD"/>
    <w:rsid w:val="0060283C"/>
    <w:rsid w:val="00604F14"/>
    <w:rsid w:val="0060638F"/>
    <w:rsid w:val="00611158"/>
    <w:rsid w:val="00611B83"/>
    <w:rsid w:val="00613257"/>
    <w:rsid w:val="00616413"/>
    <w:rsid w:val="00617988"/>
    <w:rsid w:val="00620A71"/>
    <w:rsid w:val="00620D80"/>
    <w:rsid w:val="006220B8"/>
    <w:rsid w:val="006234A6"/>
    <w:rsid w:val="00630001"/>
    <w:rsid w:val="00631021"/>
    <w:rsid w:val="006311B3"/>
    <w:rsid w:val="0063284C"/>
    <w:rsid w:val="00636398"/>
    <w:rsid w:val="006368D3"/>
    <w:rsid w:val="006377EC"/>
    <w:rsid w:val="0064096B"/>
    <w:rsid w:val="0064151F"/>
    <w:rsid w:val="00641533"/>
    <w:rsid w:val="00641BA4"/>
    <w:rsid w:val="0064208D"/>
    <w:rsid w:val="00643475"/>
    <w:rsid w:val="0064369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CE"/>
    <w:rsid w:val="00681003"/>
    <w:rsid w:val="006817C9"/>
    <w:rsid w:val="00683ECE"/>
    <w:rsid w:val="00685B83"/>
    <w:rsid w:val="00686B1E"/>
    <w:rsid w:val="00695FC2"/>
    <w:rsid w:val="006961A2"/>
    <w:rsid w:val="00696949"/>
    <w:rsid w:val="00697052"/>
    <w:rsid w:val="006A2A82"/>
    <w:rsid w:val="006A46FB"/>
    <w:rsid w:val="006A5E28"/>
    <w:rsid w:val="006A697B"/>
    <w:rsid w:val="006A7AFF"/>
    <w:rsid w:val="006B15D0"/>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A1"/>
    <w:rsid w:val="006F6582"/>
    <w:rsid w:val="006F780E"/>
    <w:rsid w:val="00701D72"/>
    <w:rsid w:val="0070346E"/>
    <w:rsid w:val="00703735"/>
    <w:rsid w:val="00704EDB"/>
    <w:rsid w:val="00706101"/>
    <w:rsid w:val="00707072"/>
    <w:rsid w:val="00707D61"/>
    <w:rsid w:val="0071177F"/>
    <w:rsid w:val="00712287"/>
    <w:rsid w:val="00712772"/>
    <w:rsid w:val="007148D3"/>
    <w:rsid w:val="00715B9A"/>
    <w:rsid w:val="00724824"/>
    <w:rsid w:val="00724CC2"/>
    <w:rsid w:val="007257D0"/>
    <w:rsid w:val="00726EA6"/>
    <w:rsid w:val="00727208"/>
    <w:rsid w:val="00727680"/>
    <w:rsid w:val="007348B1"/>
    <w:rsid w:val="007362A6"/>
    <w:rsid w:val="00736D7D"/>
    <w:rsid w:val="00740E58"/>
    <w:rsid w:val="007445A0"/>
    <w:rsid w:val="0074524B"/>
    <w:rsid w:val="00747D8B"/>
    <w:rsid w:val="00750938"/>
    <w:rsid w:val="00751228"/>
    <w:rsid w:val="00756FD5"/>
    <w:rsid w:val="007571E1"/>
    <w:rsid w:val="00757A16"/>
    <w:rsid w:val="007604B2"/>
    <w:rsid w:val="00765281"/>
    <w:rsid w:val="00766BAD"/>
    <w:rsid w:val="007729A2"/>
    <w:rsid w:val="007755F2"/>
    <w:rsid w:val="00776971"/>
    <w:rsid w:val="00780A80"/>
    <w:rsid w:val="0078177E"/>
    <w:rsid w:val="0078304C"/>
    <w:rsid w:val="00783673"/>
    <w:rsid w:val="00785490"/>
    <w:rsid w:val="007872EC"/>
    <w:rsid w:val="00787DC9"/>
    <w:rsid w:val="007925EA"/>
    <w:rsid w:val="0079290F"/>
    <w:rsid w:val="00793CD8"/>
    <w:rsid w:val="00795C92"/>
    <w:rsid w:val="00796231"/>
    <w:rsid w:val="007A1CB3"/>
    <w:rsid w:val="007A306F"/>
    <w:rsid w:val="007A337B"/>
    <w:rsid w:val="007A43A6"/>
    <w:rsid w:val="007A58A6"/>
    <w:rsid w:val="007A61AC"/>
    <w:rsid w:val="007A691B"/>
    <w:rsid w:val="007B3D2D"/>
    <w:rsid w:val="007B50AE"/>
    <w:rsid w:val="007B51DF"/>
    <w:rsid w:val="007C05DD"/>
    <w:rsid w:val="007C2D53"/>
    <w:rsid w:val="007C3D18"/>
    <w:rsid w:val="007C4566"/>
    <w:rsid w:val="007C60BF"/>
    <w:rsid w:val="007C6A07"/>
    <w:rsid w:val="007C75A1"/>
    <w:rsid w:val="007C77A5"/>
    <w:rsid w:val="007D04E5"/>
    <w:rsid w:val="007D5468"/>
    <w:rsid w:val="007D5901"/>
    <w:rsid w:val="007D6B6D"/>
    <w:rsid w:val="007D7526"/>
    <w:rsid w:val="007E3BAB"/>
    <w:rsid w:val="007E4610"/>
    <w:rsid w:val="007E4715"/>
    <w:rsid w:val="007E505B"/>
    <w:rsid w:val="007E5344"/>
    <w:rsid w:val="007E7091"/>
    <w:rsid w:val="007F0086"/>
    <w:rsid w:val="00800E7E"/>
    <w:rsid w:val="00803D4C"/>
    <w:rsid w:val="00803FAE"/>
    <w:rsid w:val="0080605F"/>
    <w:rsid w:val="00807786"/>
    <w:rsid w:val="00811FCB"/>
    <w:rsid w:val="008158D6"/>
    <w:rsid w:val="00817196"/>
    <w:rsid w:val="008235DB"/>
    <w:rsid w:val="00824AB4"/>
    <w:rsid w:val="00825C42"/>
    <w:rsid w:val="00825D25"/>
    <w:rsid w:val="00827D6F"/>
    <w:rsid w:val="008376AC"/>
    <w:rsid w:val="00842053"/>
    <w:rsid w:val="008424DA"/>
    <w:rsid w:val="008444E8"/>
    <w:rsid w:val="00844E80"/>
    <w:rsid w:val="00846FE7"/>
    <w:rsid w:val="00856911"/>
    <w:rsid w:val="0086010E"/>
    <w:rsid w:val="008677FD"/>
    <w:rsid w:val="008706D4"/>
    <w:rsid w:val="00870F8A"/>
    <w:rsid w:val="008719A4"/>
    <w:rsid w:val="00871D23"/>
    <w:rsid w:val="00874312"/>
    <w:rsid w:val="0087437C"/>
    <w:rsid w:val="00875CD7"/>
    <w:rsid w:val="00876B4D"/>
    <w:rsid w:val="00877F18"/>
    <w:rsid w:val="00883682"/>
    <w:rsid w:val="00884472"/>
    <w:rsid w:val="00886663"/>
    <w:rsid w:val="0088725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1EA"/>
    <w:rsid w:val="008D0F1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235"/>
    <w:rsid w:val="00917CE9"/>
    <w:rsid w:val="00920BF2"/>
    <w:rsid w:val="00922010"/>
    <w:rsid w:val="00931BD9"/>
    <w:rsid w:val="009368F3"/>
    <w:rsid w:val="00937B32"/>
    <w:rsid w:val="00941636"/>
    <w:rsid w:val="009435B2"/>
    <w:rsid w:val="00943742"/>
    <w:rsid w:val="00945932"/>
    <w:rsid w:val="00945C05"/>
    <w:rsid w:val="00945DF1"/>
    <w:rsid w:val="00946422"/>
    <w:rsid w:val="00946945"/>
    <w:rsid w:val="00947713"/>
    <w:rsid w:val="00950DE7"/>
    <w:rsid w:val="00953920"/>
    <w:rsid w:val="00953D47"/>
    <w:rsid w:val="0095681E"/>
    <w:rsid w:val="009572D4"/>
    <w:rsid w:val="00957A39"/>
    <w:rsid w:val="00961921"/>
    <w:rsid w:val="0096430A"/>
    <w:rsid w:val="0096554B"/>
    <w:rsid w:val="0096584A"/>
    <w:rsid w:val="0097014A"/>
    <w:rsid w:val="00971F08"/>
    <w:rsid w:val="009735FC"/>
    <w:rsid w:val="0097603D"/>
    <w:rsid w:val="00976949"/>
    <w:rsid w:val="00980477"/>
    <w:rsid w:val="00985253"/>
    <w:rsid w:val="009853B3"/>
    <w:rsid w:val="00990582"/>
    <w:rsid w:val="00990630"/>
    <w:rsid w:val="00991761"/>
    <w:rsid w:val="0099196E"/>
    <w:rsid w:val="00994DCA"/>
    <w:rsid w:val="009960EC"/>
    <w:rsid w:val="009970DD"/>
    <w:rsid w:val="009A0801"/>
    <w:rsid w:val="009A0FBA"/>
    <w:rsid w:val="009A1601"/>
    <w:rsid w:val="009A332B"/>
    <w:rsid w:val="009A3BB6"/>
    <w:rsid w:val="009A462D"/>
    <w:rsid w:val="009A54FC"/>
    <w:rsid w:val="009A5CBA"/>
    <w:rsid w:val="009B1F30"/>
    <w:rsid w:val="009B3AC2"/>
    <w:rsid w:val="009B4DF4"/>
    <w:rsid w:val="009B564E"/>
    <w:rsid w:val="009B7E87"/>
    <w:rsid w:val="009C0169"/>
    <w:rsid w:val="009C403E"/>
    <w:rsid w:val="009D4FF0"/>
    <w:rsid w:val="009D703C"/>
    <w:rsid w:val="009D718F"/>
    <w:rsid w:val="009E068F"/>
    <w:rsid w:val="009E11A2"/>
    <w:rsid w:val="009E14E0"/>
    <w:rsid w:val="009E35DB"/>
    <w:rsid w:val="009E47A3"/>
    <w:rsid w:val="009F08F3"/>
    <w:rsid w:val="009F33B9"/>
    <w:rsid w:val="009F344F"/>
    <w:rsid w:val="00A031D8"/>
    <w:rsid w:val="00A048A8"/>
    <w:rsid w:val="00A04F49"/>
    <w:rsid w:val="00A10DAA"/>
    <w:rsid w:val="00A13E54"/>
    <w:rsid w:val="00A145B9"/>
    <w:rsid w:val="00A157A1"/>
    <w:rsid w:val="00A1644F"/>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C2B"/>
    <w:rsid w:val="00A660AC"/>
    <w:rsid w:val="00A67E6C"/>
    <w:rsid w:val="00A71B99"/>
    <w:rsid w:val="00A72182"/>
    <w:rsid w:val="00A739D0"/>
    <w:rsid w:val="00A761D4"/>
    <w:rsid w:val="00A77EC4"/>
    <w:rsid w:val="00A92879"/>
    <w:rsid w:val="00A9442A"/>
    <w:rsid w:val="00AA016F"/>
    <w:rsid w:val="00AA1ED6"/>
    <w:rsid w:val="00AA4B33"/>
    <w:rsid w:val="00AA51D6"/>
    <w:rsid w:val="00AB0BC8"/>
    <w:rsid w:val="00AB11CA"/>
    <w:rsid w:val="00AB14D9"/>
    <w:rsid w:val="00AB4AB8"/>
    <w:rsid w:val="00AB506F"/>
    <w:rsid w:val="00AB655E"/>
    <w:rsid w:val="00AC007F"/>
    <w:rsid w:val="00AC2ECD"/>
    <w:rsid w:val="00AC3119"/>
    <w:rsid w:val="00AC49FB"/>
    <w:rsid w:val="00AC559C"/>
    <w:rsid w:val="00AC5A10"/>
    <w:rsid w:val="00AD0AA3"/>
    <w:rsid w:val="00AD3F94"/>
    <w:rsid w:val="00AD4A5A"/>
    <w:rsid w:val="00AE27AC"/>
    <w:rsid w:val="00AE40E0"/>
    <w:rsid w:val="00AE4DBA"/>
    <w:rsid w:val="00AE4F07"/>
    <w:rsid w:val="00AF1C5D"/>
    <w:rsid w:val="00AF42D7"/>
    <w:rsid w:val="00AF462F"/>
    <w:rsid w:val="00AF721D"/>
    <w:rsid w:val="00B006FE"/>
    <w:rsid w:val="00B007CB"/>
    <w:rsid w:val="00B02AA9"/>
    <w:rsid w:val="00B02FA3"/>
    <w:rsid w:val="00B05084"/>
    <w:rsid w:val="00B074AC"/>
    <w:rsid w:val="00B07989"/>
    <w:rsid w:val="00B157F9"/>
    <w:rsid w:val="00B20256"/>
    <w:rsid w:val="00B209E9"/>
    <w:rsid w:val="00B20D09"/>
    <w:rsid w:val="00B2763F"/>
    <w:rsid w:val="00B27AAC"/>
    <w:rsid w:val="00B30929"/>
    <w:rsid w:val="00B3463E"/>
    <w:rsid w:val="00B372AA"/>
    <w:rsid w:val="00B40445"/>
    <w:rsid w:val="00B409E0"/>
    <w:rsid w:val="00B41888"/>
    <w:rsid w:val="00B4396A"/>
    <w:rsid w:val="00B458F7"/>
    <w:rsid w:val="00B45A52"/>
    <w:rsid w:val="00B46175"/>
    <w:rsid w:val="00B548B7"/>
    <w:rsid w:val="00B657B5"/>
    <w:rsid w:val="00B664C7"/>
    <w:rsid w:val="00B739F6"/>
    <w:rsid w:val="00B81A6C"/>
    <w:rsid w:val="00B85DE5"/>
    <w:rsid w:val="00B90F73"/>
    <w:rsid w:val="00B93B59"/>
    <w:rsid w:val="00B9406A"/>
    <w:rsid w:val="00BA2280"/>
    <w:rsid w:val="00BA2A08"/>
    <w:rsid w:val="00BA34E5"/>
    <w:rsid w:val="00BA56D2"/>
    <w:rsid w:val="00BA76E0"/>
    <w:rsid w:val="00BA7E03"/>
    <w:rsid w:val="00BB2A25"/>
    <w:rsid w:val="00BB51E9"/>
    <w:rsid w:val="00BC0FDC"/>
    <w:rsid w:val="00BC3053"/>
    <w:rsid w:val="00BC4D2E"/>
    <w:rsid w:val="00BD3828"/>
    <w:rsid w:val="00BD48AC"/>
    <w:rsid w:val="00BD5F1A"/>
    <w:rsid w:val="00BE09B9"/>
    <w:rsid w:val="00BE1234"/>
    <w:rsid w:val="00BE2FA6"/>
    <w:rsid w:val="00BE333F"/>
    <w:rsid w:val="00BE4984"/>
    <w:rsid w:val="00BE7406"/>
    <w:rsid w:val="00BE7603"/>
    <w:rsid w:val="00BF3279"/>
    <w:rsid w:val="00BF69C2"/>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2DA1"/>
    <w:rsid w:val="00C3719D"/>
    <w:rsid w:val="00C37CB2"/>
    <w:rsid w:val="00C473A5"/>
    <w:rsid w:val="00C54995"/>
    <w:rsid w:val="00C54D41"/>
    <w:rsid w:val="00C60783"/>
    <w:rsid w:val="00C62021"/>
    <w:rsid w:val="00C64672"/>
    <w:rsid w:val="00C677FD"/>
    <w:rsid w:val="00C70697"/>
    <w:rsid w:val="00C72093"/>
    <w:rsid w:val="00C72EF4"/>
    <w:rsid w:val="00C744FE"/>
    <w:rsid w:val="00C75D2F"/>
    <w:rsid w:val="00C767BE"/>
    <w:rsid w:val="00C76BE8"/>
    <w:rsid w:val="00C76E3C"/>
    <w:rsid w:val="00C81568"/>
    <w:rsid w:val="00C9027A"/>
    <w:rsid w:val="00C9068E"/>
    <w:rsid w:val="00C93814"/>
    <w:rsid w:val="00C93C4B"/>
    <w:rsid w:val="00C944AB"/>
    <w:rsid w:val="00C95B40"/>
    <w:rsid w:val="00CA1ED8"/>
    <w:rsid w:val="00CA2BC5"/>
    <w:rsid w:val="00CB1F63"/>
    <w:rsid w:val="00CB4619"/>
    <w:rsid w:val="00CB7170"/>
    <w:rsid w:val="00CC040E"/>
    <w:rsid w:val="00CC111F"/>
    <w:rsid w:val="00CC1B65"/>
    <w:rsid w:val="00CC2011"/>
    <w:rsid w:val="00CC3937"/>
    <w:rsid w:val="00CC3EA0"/>
    <w:rsid w:val="00CC6654"/>
    <w:rsid w:val="00CC7B45"/>
    <w:rsid w:val="00CD1188"/>
    <w:rsid w:val="00CD2ED1"/>
    <w:rsid w:val="00CD3142"/>
    <w:rsid w:val="00CD337B"/>
    <w:rsid w:val="00CE0424"/>
    <w:rsid w:val="00CE27D8"/>
    <w:rsid w:val="00CE7561"/>
    <w:rsid w:val="00CF1354"/>
    <w:rsid w:val="00CF3297"/>
    <w:rsid w:val="00CF3B1F"/>
    <w:rsid w:val="00CF3BF6"/>
    <w:rsid w:val="00CF625B"/>
    <w:rsid w:val="00CF687E"/>
    <w:rsid w:val="00D0349B"/>
    <w:rsid w:val="00D10249"/>
    <w:rsid w:val="00D115C3"/>
    <w:rsid w:val="00D11897"/>
    <w:rsid w:val="00D13135"/>
    <w:rsid w:val="00D13E4E"/>
    <w:rsid w:val="00D239A7"/>
    <w:rsid w:val="00D23F47"/>
    <w:rsid w:val="00D2725B"/>
    <w:rsid w:val="00D36E71"/>
    <w:rsid w:val="00D37D87"/>
    <w:rsid w:val="00D40B33"/>
    <w:rsid w:val="00D4318F"/>
    <w:rsid w:val="00D438BF"/>
    <w:rsid w:val="00D440F8"/>
    <w:rsid w:val="00D46EB6"/>
    <w:rsid w:val="00D546FF"/>
    <w:rsid w:val="00D55AD5"/>
    <w:rsid w:val="00D576CA"/>
    <w:rsid w:val="00D61AF5"/>
    <w:rsid w:val="00D652B5"/>
    <w:rsid w:val="00D66155"/>
    <w:rsid w:val="00D67D5B"/>
    <w:rsid w:val="00D708B0"/>
    <w:rsid w:val="00D72AB2"/>
    <w:rsid w:val="00D77B1D"/>
    <w:rsid w:val="00D8021F"/>
    <w:rsid w:val="00D80383"/>
    <w:rsid w:val="00D823C6"/>
    <w:rsid w:val="00D8327F"/>
    <w:rsid w:val="00D86CA3"/>
    <w:rsid w:val="00D871CE"/>
    <w:rsid w:val="00D9196D"/>
    <w:rsid w:val="00D92982"/>
    <w:rsid w:val="00DA305E"/>
    <w:rsid w:val="00DA3968"/>
    <w:rsid w:val="00DA5417"/>
    <w:rsid w:val="00DA56E8"/>
    <w:rsid w:val="00DA6A2B"/>
    <w:rsid w:val="00DB0A9F"/>
    <w:rsid w:val="00DB377D"/>
    <w:rsid w:val="00DB6BB2"/>
    <w:rsid w:val="00DC2D36"/>
    <w:rsid w:val="00DC3D6C"/>
    <w:rsid w:val="00DC53EF"/>
    <w:rsid w:val="00DE5608"/>
    <w:rsid w:val="00DE58D0"/>
    <w:rsid w:val="00DE654F"/>
    <w:rsid w:val="00DF0B6E"/>
    <w:rsid w:val="00DF15E0"/>
    <w:rsid w:val="00DF37A0"/>
    <w:rsid w:val="00DF66E1"/>
    <w:rsid w:val="00E00CA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46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281"/>
    <w:rsid w:val="00E87822"/>
    <w:rsid w:val="00E90395"/>
    <w:rsid w:val="00E90E49"/>
    <w:rsid w:val="00E910CD"/>
    <w:rsid w:val="00E917F9"/>
    <w:rsid w:val="00E9291C"/>
    <w:rsid w:val="00E93910"/>
    <w:rsid w:val="00E93FFE"/>
    <w:rsid w:val="00E94D2E"/>
    <w:rsid w:val="00E94F8A"/>
    <w:rsid w:val="00EA7A41"/>
    <w:rsid w:val="00EB077B"/>
    <w:rsid w:val="00EB3F0B"/>
    <w:rsid w:val="00EB4EA2"/>
    <w:rsid w:val="00EC24D5"/>
    <w:rsid w:val="00EC27C6"/>
    <w:rsid w:val="00EC4207"/>
    <w:rsid w:val="00EC5653"/>
    <w:rsid w:val="00EC71CE"/>
    <w:rsid w:val="00ED07FC"/>
    <w:rsid w:val="00ED1006"/>
    <w:rsid w:val="00EE70C0"/>
    <w:rsid w:val="00EF18FE"/>
    <w:rsid w:val="00EF2327"/>
    <w:rsid w:val="00EF42D0"/>
    <w:rsid w:val="00EF4C61"/>
    <w:rsid w:val="00EF5787"/>
    <w:rsid w:val="00EF60D0"/>
    <w:rsid w:val="00F0528D"/>
    <w:rsid w:val="00F06C67"/>
    <w:rsid w:val="00F06DFD"/>
    <w:rsid w:val="00F071D1"/>
    <w:rsid w:val="00F07533"/>
    <w:rsid w:val="00F1008F"/>
    <w:rsid w:val="00F10629"/>
    <w:rsid w:val="00F15FA5"/>
    <w:rsid w:val="00F209B7"/>
    <w:rsid w:val="00F20F5C"/>
    <w:rsid w:val="00F2376F"/>
    <w:rsid w:val="00F243D8"/>
    <w:rsid w:val="00F30828"/>
    <w:rsid w:val="00F313D6"/>
    <w:rsid w:val="00F405CA"/>
    <w:rsid w:val="00F40794"/>
    <w:rsid w:val="00F40F0C"/>
    <w:rsid w:val="00F4442C"/>
    <w:rsid w:val="00F4691E"/>
    <w:rsid w:val="00F46BFB"/>
    <w:rsid w:val="00F4766C"/>
    <w:rsid w:val="00F5060E"/>
    <w:rsid w:val="00F507D1"/>
    <w:rsid w:val="00F519CE"/>
    <w:rsid w:val="00F51ADA"/>
    <w:rsid w:val="00F60203"/>
    <w:rsid w:val="00F607C5"/>
    <w:rsid w:val="00F60DEA"/>
    <w:rsid w:val="00F6302A"/>
    <w:rsid w:val="00F63950"/>
    <w:rsid w:val="00F64C2B"/>
    <w:rsid w:val="00F651BE"/>
    <w:rsid w:val="00F6536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4A0"/>
    <w:rsid w:val="00FB4C80"/>
    <w:rsid w:val="00FB6A6A"/>
    <w:rsid w:val="00FC33B3"/>
    <w:rsid w:val="00FC7429"/>
    <w:rsid w:val="00FD07F6"/>
    <w:rsid w:val="00FD1EC8"/>
    <w:rsid w:val="00FD47ED"/>
    <w:rsid w:val="00FD74DB"/>
    <w:rsid w:val="00FD7660"/>
    <w:rsid w:val="00FE0655"/>
    <w:rsid w:val="00FE1CCE"/>
    <w:rsid w:val="00FE22F1"/>
    <w:rsid w:val="00FE2365"/>
    <w:rsid w:val="00FE37D7"/>
    <w:rsid w:val="00FE4C7B"/>
    <w:rsid w:val="00FE7336"/>
    <w:rsid w:val="00FE787C"/>
    <w:rsid w:val="00FF0DE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00-e/Docs//R4-211282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1403</TotalTime>
  <Pages>1</Pages>
  <Words>1924</Words>
  <Characters>9335</Characters>
  <Application>Microsoft Office Word</Application>
  <DocSecurity>0</DocSecurity>
  <Lines>160</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11191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36</cp:revision>
  <cp:lastPrinted>2008-01-31T07:09:00Z</cp:lastPrinted>
  <dcterms:created xsi:type="dcterms:W3CDTF">2022-06-23T13:54:00Z</dcterms:created>
  <dcterms:modified xsi:type="dcterms:W3CDTF">2022-09-05T18:10:00Z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